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2D0CB" w14:textId="62657127" w:rsidR="005C7806" w:rsidRDefault="0010483B" w:rsidP="0010483B">
      <w:pPr>
        <w:pStyle w:val="Heading1"/>
      </w:pPr>
      <w:r w:rsidRPr="00C878BA">
        <w:t xml:space="preserve">Course Outline </w:t>
      </w:r>
    </w:p>
    <w:p w14:paraId="4BD86049" w14:textId="3F347A6D" w:rsidR="0010483B" w:rsidRPr="00C878BA" w:rsidRDefault="0010483B" w:rsidP="005C7806">
      <w:pPr>
        <w:pStyle w:val="Heading2"/>
        <w:jc w:val="center"/>
      </w:pPr>
      <w:r w:rsidRPr="00C878BA">
        <w:t>Social Sciences 1SS3</w:t>
      </w:r>
      <w:r w:rsidR="005225A8">
        <w:t>: Inquiry i</w:t>
      </w:r>
      <w:r w:rsidRPr="00C878BA">
        <w:t xml:space="preserve">n </w:t>
      </w:r>
      <w:r w:rsidR="005225A8">
        <w:t>t</w:t>
      </w:r>
      <w:r w:rsidRPr="00C878BA">
        <w:t>he Social Sciences</w:t>
      </w:r>
    </w:p>
    <w:p w14:paraId="46F2A138" w14:textId="77777777" w:rsidR="0010483B" w:rsidRDefault="0010483B" w:rsidP="0010483B"/>
    <w:p w14:paraId="0B37C473" w14:textId="1FC437EB" w:rsidR="0010483B" w:rsidRPr="005C7806" w:rsidRDefault="0010483B" w:rsidP="005C7806">
      <w:pPr>
        <w:pStyle w:val="Heading2"/>
      </w:pPr>
      <w:r w:rsidRPr="005C7806">
        <w:t>Course Information</w:t>
      </w:r>
    </w:p>
    <w:p w14:paraId="352D5846" w14:textId="67B3B688" w:rsidR="005C7806" w:rsidRPr="005C7806" w:rsidRDefault="005C7806" w:rsidP="005C7806">
      <w:pPr>
        <w:spacing w:before="240" w:after="0" w:line="240" w:lineRule="auto"/>
        <w:rPr>
          <w:b/>
          <w:lang w:val="en-GB"/>
        </w:rPr>
      </w:pPr>
      <w:r w:rsidRPr="005C7806">
        <w:rPr>
          <w:b/>
          <w:lang w:val="en-GB"/>
        </w:rPr>
        <w:t>McMaster University, Faculty of Social Sciences</w:t>
      </w:r>
    </w:p>
    <w:p w14:paraId="757836A8" w14:textId="271B71EE" w:rsidR="0010483B" w:rsidRPr="00EE5177" w:rsidRDefault="005C7806" w:rsidP="005C7806">
      <w:pPr>
        <w:spacing w:before="240" w:after="0" w:line="240" w:lineRule="auto"/>
      </w:pPr>
      <w:r w:rsidRPr="005C7806">
        <w:rPr>
          <w:b/>
        </w:rPr>
        <w:t>Term:</w:t>
      </w:r>
      <w:r>
        <w:t xml:space="preserve"> </w:t>
      </w:r>
      <w:hyperlink r:id="rId7" w:history="1">
        <w:r w:rsidR="0010483B" w:rsidRPr="00E07FBD">
          <w:rPr>
            <w:rStyle w:val="Hyperlink"/>
          </w:rPr>
          <w:t xml:space="preserve">Winter </w:t>
        </w:r>
        <w:r w:rsidR="00D04CF3" w:rsidRPr="00E07FBD">
          <w:rPr>
            <w:rStyle w:val="Hyperlink"/>
          </w:rPr>
          <w:t>2020</w:t>
        </w:r>
      </w:hyperlink>
      <w:r w:rsidR="0010483B">
        <w:t xml:space="preserve">, </w:t>
      </w:r>
      <w:r w:rsidR="0010483B" w:rsidRPr="00EE5177">
        <w:t>Section C08</w:t>
      </w:r>
      <w:r w:rsidR="0010483B">
        <w:t xml:space="preserve"> </w:t>
      </w:r>
      <w:r w:rsidR="0010483B" w:rsidRPr="00C878BA">
        <w:t>(Online)</w:t>
      </w:r>
    </w:p>
    <w:p w14:paraId="66EB59AA" w14:textId="20B29CE7" w:rsidR="0010483B" w:rsidRPr="00EE5177" w:rsidRDefault="0010483B" w:rsidP="005C7806">
      <w:pPr>
        <w:spacing w:before="240" w:after="0" w:line="240" w:lineRule="auto"/>
      </w:pPr>
      <w:r w:rsidRPr="005C7806">
        <w:rPr>
          <w:b/>
        </w:rPr>
        <w:t>Theme</w:t>
      </w:r>
      <w:r>
        <w:t xml:space="preserve">: </w:t>
      </w:r>
      <w:r w:rsidR="00130118">
        <w:t>Masculinity</w:t>
      </w:r>
      <w:r>
        <w:t xml:space="preserve"> and Femininity in a Digital Age</w:t>
      </w:r>
    </w:p>
    <w:p w14:paraId="7F4C21FE" w14:textId="77777777" w:rsidR="005C7806" w:rsidRDefault="005C7806" w:rsidP="005C7806">
      <w:pPr>
        <w:spacing w:before="240" w:after="0" w:line="240" w:lineRule="auto"/>
        <w:rPr>
          <w:lang w:val="en-GB"/>
        </w:rPr>
      </w:pPr>
      <w:r w:rsidRPr="005C7806">
        <w:rPr>
          <w:b/>
          <w:lang w:val="en-GB"/>
        </w:rPr>
        <w:t>Instructor:</w:t>
      </w:r>
      <w:r>
        <w:rPr>
          <w:lang w:val="en-GB"/>
        </w:rPr>
        <w:t xml:space="preserve"> </w:t>
      </w:r>
      <w:proofErr w:type="spellStart"/>
      <w:r>
        <w:rPr>
          <w:lang w:val="en-GB"/>
        </w:rPr>
        <w:t>Dr.</w:t>
      </w:r>
      <w:proofErr w:type="spellEnd"/>
      <w:r>
        <w:rPr>
          <w:lang w:val="en-GB"/>
        </w:rPr>
        <w:t xml:space="preserve"> Mark Busser</w:t>
      </w:r>
    </w:p>
    <w:p w14:paraId="21388C3A" w14:textId="7B65E168" w:rsidR="0010483B" w:rsidRDefault="0010483B" w:rsidP="005C7806">
      <w:pPr>
        <w:spacing w:before="240" w:line="240" w:lineRule="auto"/>
        <w:rPr>
          <w:lang w:val="en-GB"/>
        </w:rPr>
      </w:pPr>
      <w:r w:rsidRPr="005C7806">
        <w:rPr>
          <w:b/>
          <w:lang w:val="en-GB"/>
        </w:rPr>
        <w:t>Email:</w:t>
      </w:r>
      <w:r w:rsidRPr="00C878BA">
        <w:rPr>
          <w:lang w:val="en-GB"/>
        </w:rPr>
        <w:t xml:space="preserve"> </w:t>
      </w:r>
      <w:hyperlink r:id="rId8" w:history="1">
        <w:r w:rsidRPr="00C878BA">
          <w:rPr>
            <w:rStyle w:val="Hyperlink"/>
            <w:lang w:val="en-GB"/>
          </w:rPr>
          <w:t>bussermp@mcmaster.ca</w:t>
        </w:r>
      </w:hyperlink>
    </w:p>
    <w:p w14:paraId="0E8557B5" w14:textId="77777777" w:rsidR="005C7806" w:rsidRPr="00EE5177" w:rsidRDefault="005C7806" w:rsidP="005C7806">
      <w:pPr>
        <w:spacing w:line="240" w:lineRule="auto"/>
        <w:rPr>
          <w:lang w:val="en-GB"/>
        </w:rPr>
      </w:pPr>
    </w:p>
    <w:p w14:paraId="5E91206B" w14:textId="386ACC4B" w:rsidR="0010483B" w:rsidRPr="00B16EE2" w:rsidRDefault="0010483B" w:rsidP="00B16EE2">
      <w:pPr>
        <w:pStyle w:val="Heading2"/>
        <w:rPr>
          <w:lang w:val="en-GB"/>
        </w:rPr>
      </w:pPr>
      <w:r w:rsidRPr="00EE5177">
        <w:rPr>
          <w:lang w:val="en-GB"/>
        </w:rPr>
        <w:t>Course Description</w:t>
      </w:r>
    </w:p>
    <w:p w14:paraId="03318CE1" w14:textId="1CBF1745" w:rsidR="0010483B" w:rsidRPr="00EE5177" w:rsidRDefault="0010483B" w:rsidP="0010483B">
      <w:r w:rsidRPr="00EE5177">
        <w:t xml:space="preserve">Inquiry courses are designed to teach students how to learn and how to share academic knowledge. The courses are skill-driven, rather than content-driven, with a </w:t>
      </w:r>
      <w:r w:rsidRPr="00EE5177">
        <w:rPr>
          <w:i/>
        </w:rPr>
        <w:t xml:space="preserve">focus on the </w:t>
      </w:r>
      <w:r w:rsidRPr="00EE5177">
        <w:rPr>
          <w:rStyle w:val="Strong"/>
          <w:bCs w:val="0"/>
          <w:i/>
        </w:rPr>
        <w:t>skills</w:t>
      </w:r>
      <w:r w:rsidRPr="00EE5177">
        <w:rPr>
          <w:i/>
        </w:rPr>
        <w:t xml:space="preserve"> required to perform effectively in university</w:t>
      </w:r>
      <w:r w:rsidRPr="00EE5177">
        <w:t>. These personal, transferable skills and approaches to learning will be useful in other university courses, and beyond.  Students will engage in a process to begin to learn how to formulate good academic questions, gather and interpret scholarly evidence, draw reasoned conclusions, and communicate these conclusions, using as content, topics central to research in the Social Sciences (e.g., social identity, globalization, health,</w:t>
      </w:r>
      <w:r w:rsidR="005C7806">
        <w:t xml:space="preserve"> and gender). </w:t>
      </w:r>
    </w:p>
    <w:p w14:paraId="688CEC5B" w14:textId="722173ED" w:rsidR="0010483B" w:rsidRPr="00EE5177" w:rsidRDefault="0010483B" w:rsidP="00785250">
      <w:pPr>
        <w:pStyle w:val="Heading3"/>
        <w:rPr>
          <w:lang w:val="en-GB"/>
        </w:rPr>
      </w:pPr>
      <w:r w:rsidRPr="00EE5177">
        <w:rPr>
          <w:lang w:val="en-GB"/>
        </w:rPr>
        <w:t>Course Objectives</w:t>
      </w:r>
    </w:p>
    <w:p w14:paraId="1C6B93D4" w14:textId="76C83B83" w:rsidR="0010483B" w:rsidRPr="00EE5177" w:rsidRDefault="0010483B" w:rsidP="0010483B">
      <w:r w:rsidRPr="00EE5177">
        <w:rPr>
          <w:lang w:val="en-GB"/>
        </w:rPr>
        <w:t>Upon successful completion of this course you will have valuable experience in:</w:t>
      </w:r>
      <w:r w:rsidR="00B16EE2">
        <w:t xml:space="preserve"> </w:t>
      </w:r>
    </w:p>
    <w:p w14:paraId="6612DCA5" w14:textId="77777777" w:rsidR="0010483B" w:rsidRPr="00EE5177" w:rsidRDefault="0010483B" w:rsidP="008A0A72">
      <w:pPr>
        <w:pStyle w:val="ListParagraph"/>
        <w:numPr>
          <w:ilvl w:val="0"/>
          <w:numId w:val="11"/>
        </w:numPr>
      </w:pPr>
      <w:r w:rsidRPr="00EE5177">
        <w:t>developing a researchable question and refining it;</w:t>
      </w:r>
    </w:p>
    <w:p w14:paraId="7CA786DC" w14:textId="77777777" w:rsidR="0010483B" w:rsidRPr="00EE5177" w:rsidRDefault="0010483B" w:rsidP="008A0A72">
      <w:pPr>
        <w:pStyle w:val="ListParagraph"/>
        <w:numPr>
          <w:ilvl w:val="0"/>
          <w:numId w:val="11"/>
        </w:numPr>
      </w:pPr>
      <w:r w:rsidRPr="00EE5177">
        <w:t>demonstrating the ability to obtain relevant information to answer this question;</w:t>
      </w:r>
    </w:p>
    <w:p w14:paraId="41ED9112" w14:textId="77777777" w:rsidR="0010483B" w:rsidRPr="00EE5177" w:rsidRDefault="0010483B" w:rsidP="008A0A72">
      <w:pPr>
        <w:pStyle w:val="ListParagraph"/>
        <w:numPr>
          <w:ilvl w:val="0"/>
          <w:numId w:val="11"/>
        </w:numPr>
      </w:pPr>
      <w:r w:rsidRPr="00EE5177">
        <w:t>critically evaluating the validity and relevance of academic research;</w:t>
      </w:r>
    </w:p>
    <w:p w14:paraId="51E32FC9" w14:textId="77777777" w:rsidR="0010483B" w:rsidRPr="00EE5177" w:rsidRDefault="0010483B" w:rsidP="008A0A72">
      <w:pPr>
        <w:pStyle w:val="ListParagraph"/>
        <w:numPr>
          <w:ilvl w:val="0"/>
          <w:numId w:val="11"/>
        </w:numPr>
      </w:pPr>
      <w:r w:rsidRPr="00EE5177">
        <w:t xml:space="preserve">communicating a reasoned response to the researchable questions; and </w:t>
      </w:r>
    </w:p>
    <w:p w14:paraId="13AD2078" w14:textId="1B126C09" w:rsidR="0010483B" w:rsidRDefault="0010483B" w:rsidP="008A0A72">
      <w:pPr>
        <w:pStyle w:val="ListParagraph"/>
        <w:numPr>
          <w:ilvl w:val="0"/>
          <w:numId w:val="11"/>
        </w:numPr>
      </w:pPr>
      <w:r w:rsidRPr="00EE5177">
        <w:t>critically reflecting on your learning process.</w:t>
      </w:r>
    </w:p>
    <w:p w14:paraId="028B1AC4" w14:textId="77777777" w:rsidR="00DE25BF" w:rsidRPr="003E6133" w:rsidRDefault="00DE25BF" w:rsidP="00785250">
      <w:pPr>
        <w:pStyle w:val="Heading3"/>
      </w:pPr>
      <w:bookmarkStart w:id="0" w:name="_Toc18012065"/>
      <w:r w:rsidRPr="003E6133">
        <w:t>Expected Time Commitment</w:t>
      </w:r>
      <w:bookmarkEnd w:id="0"/>
    </w:p>
    <w:p w14:paraId="4CF5765F" w14:textId="54700584" w:rsidR="00DE25BF" w:rsidRDefault="00DE25BF" w:rsidP="00DE25BF">
      <w:r>
        <w:t>As a general rule, in a university class, for every hour of scheduled in-person contact time, you should also budget 1-2 hours per week for reading, preparation and homework. Typically, this totals 6-9 hours per week. While this course is delivered online, the time commitment is similar. The recommended time budget is:</w:t>
      </w:r>
    </w:p>
    <w:p w14:paraId="7FCAF76B" w14:textId="0CC98CCE" w:rsidR="00DE25BF" w:rsidRPr="007F20F9" w:rsidRDefault="00DE25BF" w:rsidP="00DE25BF">
      <w:pPr>
        <w:pStyle w:val="ListParagraph"/>
        <w:numPr>
          <w:ilvl w:val="0"/>
          <w:numId w:val="15"/>
        </w:numPr>
        <w:spacing w:after="240" w:line="240" w:lineRule="auto"/>
        <w:rPr>
          <w:szCs w:val="28"/>
        </w:rPr>
      </w:pPr>
      <w:r w:rsidRPr="007F20F9">
        <w:rPr>
          <w:szCs w:val="28"/>
        </w:rPr>
        <w:t xml:space="preserve">Avenue Content &amp; Online Modules: </w:t>
      </w:r>
      <w:r w:rsidR="00785250">
        <w:rPr>
          <w:szCs w:val="28"/>
        </w:rPr>
        <w:t>2</w:t>
      </w:r>
      <w:r w:rsidRPr="007F20F9">
        <w:rPr>
          <w:szCs w:val="28"/>
        </w:rPr>
        <w:t xml:space="preserve"> hours per week x 12 weeks = 24 hours</w:t>
      </w:r>
    </w:p>
    <w:p w14:paraId="2882CD11" w14:textId="77777777" w:rsidR="00DE25BF" w:rsidRPr="007F20F9" w:rsidRDefault="00DE25BF" w:rsidP="00DE25BF">
      <w:pPr>
        <w:pStyle w:val="ListParagraph"/>
        <w:numPr>
          <w:ilvl w:val="0"/>
          <w:numId w:val="15"/>
        </w:numPr>
        <w:spacing w:after="240" w:line="240" w:lineRule="auto"/>
        <w:rPr>
          <w:szCs w:val="28"/>
        </w:rPr>
      </w:pPr>
      <w:r w:rsidRPr="007F20F9">
        <w:rPr>
          <w:szCs w:val="28"/>
        </w:rPr>
        <w:t>Assigned &amp; Research Reading: 3 hours per week x 12 weeks = 36 hours</w:t>
      </w:r>
    </w:p>
    <w:p w14:paraId="3D01CF21" w14:textId="533EB44E" w:rsidR="00DE25BF" w:rsidRPr="007F20F9" w:rsidRDefault="00DE25BF" w:rsidP="00DE25BF">
      <w:pPr>
        <w:pStyle w:val="ListParagraph"/>
        <w:numPr>
          <w:ilvl w:val="0"/>
          <w:numId w:val="15"/>
        </w:numPr>
        <w:spacing w:after="240" w:line="240" w:lineRule="auto"/>
        <w:rPr>
          <w:szCs w:val="28"/>
        </w:rPr>
      </w:pPr>
      <w:r w:rsidRPr="007F20F9">
        <w:rPr>
          <w:szCs w:val="28"/>
        </w:rPr>
        <w:t xml:space="preserve">Assignments: </w:t>
      </w:r>
      <w:r w:rsidR="00785250">
        <w:rPr>
          <w:szCs w:val="28"/>
        </w:rPr>
        <w:t>2</w:t>
      </w:r>
      <w:r w:rsidRPr="007F20F9">
        <w:rPr>
          <w:szCs w:val="28"/>
        </w:rPr>
        <w:t xml:space="preserve"> hours per week x 12 weeks = </w:t>
      </w:r>
      <w:r w:rsidR="00785250">
        <w:rPr>
          <w:szCs w:val="28"/>
        </w:rPr>
        <w:t>24</w:t>
      </w:r>
      <w:r w:rsidRPr="007F20F9">
        <w:rPr>
          <w:szCs w:val="28"/>
        </w:rPr>
        <w:t xml:space="preserve"> hours</w:t>
      </w:r>
    </w:p>
    <w:p w14:paraId="00AE062F" w14:textId="77777777" w:rsidR="00785250" w:rsidRPr="00B16EE2" w:rsidRDefault="00785250" w:rsidP="00785250">
      <w:pPr>
        <w:pStyle w:val="Heading2"/>
      </w:pPr>
      <w:r w:rsidRPr="00EE5177">
        <w:lastRenderedPageBreak/>
        <w:t>What is Inquiry</w:t>
      </w:r>
      <w:r>
        <w:t>?</w:t>
      </w:r>
    </w:p>
    <w:p w14:paraId="2F2FF432" w14:textId="77777777" w:rsidR="00785250" w:rsidRPr="005C7806" w:rsidRDefault="00785250" w:rsidP="00785250">
      <w:r w:rsidRPr="00EE5177">
        <w:t xml:space="preserve">Inquiry is the process of developing skills to arrive at understandings of a problem, an issue, or a phenomenon, through the process of asking good questions, searching out good evidence, and arriving at </w:t>
      </w:r>
      <w:proofErr w:type="spellStart"/>
      <w:r w:rsidRPr="00EE5177">
        <w:t>well reasoned</w:t>
      </w:r>
      <w:proofErr w:type="spellEnd"/>
      <w:r w:rsidRPr="00EE5177">
        <w:t xml:space="preserve"> conclusions. The process of critical inquiry promotes self-directed learning, helping you to develop the skills necessary to acquire and reflect on new knowledge and understanding, and that will be invaluable in your other university courses and your academic, pe</w:t>
      </w:r>
      <w:r>
        <w:t>rsonal, and professional lives.</w:t>
      </w:r>
    </w:p>
    <w:p w14:paraId="0B207EA9" w14:textId="7EA620E0" w:rsidR="0010483B" w:rsidRPr="00EE5177" w:rsidRDefault="0010483B" w:rsidP="00785250">
      <w:pPr>
        <w:pStyle w:val="Heading3"/>
      </w:pPr>
      <w:r w:rsidRPr="00EE5177">
        <w:t>Developing Transferable Skills</w:t>
      </w:r>
    </w:p>
    <w:p w14:paraId="5AA75EF2" w14:textId="67B2BB9B" w:rsidR="0010483B" w:rsidRPr="00EE5177" w:rsidRDefault="0010483B" w:rsidP="0010483B">
      <w:r w:rsidRPr="00EE5177">
        <w:t>You will work on developing academic skills that are transferable to your other university courses as well as to the workforce. These skills include:</w:t>
      </w:r>
    </w:p>
    <w:p w14:paraId="61F25B47" w14:textId="77777777" w:rsidR="0010483B" w:rsidRPr="00EE5177" w:rsidRDefault="0010483B" w:rsidP="008A0A72">
      <w:pPr>
        <w:pStyle w:val="ListParagraph"/>
        <w:numPr>
          <w:ilvl w:val="0"/>
          <w:numId w:val="12"/>
        </w:numPr>
      </w:pPr>
      <w:r w:rsidRPr="00EE5177">
        <w:t>question formulation;</w:t>
      </w:r>
    </w:p>
    <w:p w14:paraId="29A4AC2E" w14:textId="77777777" w:rsidR="0010483B" w:rsidRPr="00EE5177" w:rsidRDefault="0010483B" w:rsidP="008A0A72">
      <w:pPr>
        <w:pStyle w:val="ListParagraph"/>
        <w:numPr>
          <w:ilvl w:val="0"/>
          <w:numId w:val="12"/>
        </w:numPr>
      </w:pPr>
      <w:r w:rsidRPr="00EE5177">
        <w:t>critical reading and thinking;</w:t>
      </w:r>
    </w:p>
    <w:p w14:paraId="2D6E1E14" w14:textId="77777777" w:rsidR="0010483B" w:rsidRPr="00EE5177" w:rsidRDefault="0010483B" w:rsidP="008A0A72">
      <w:pPr>
        <w:pStyle w:val="ListParagraph"/>
        <w:numPr>
          <w:ilvl w:val="0"/>
          <w:numId w:val="12"/>
        </w:numPr>
      </w:pPr>
      <w:r w:rsidRPr="00EE5177">
        <w:t>communication (oral, written and visual);</w:t>
      </w:r>
    </w:p>
    <w:p w14:paraId="7484B609" w14:textId="77777777" w:rsidR="0010483B" w:rsidRPr="00EE5177" w:rsidRDefault="0010483B" w:rsidP="008A0A72">
      <w:pPr>
        <w:pStyle w:val="ListParagraph"/>
        <w:numPr>
          <w:ilvl w:val="0"/>
          <w:numId w:val="12"/>
        </w:numPr>
      </w:pPr>
      <w:r w:rsidRPr="00EE5177">
        <w:t>self and peer evaluation;</w:t>
      </w:r>
    </w:p>
    <w:p w14:paraId="22487022" w14:textId="77777777" w:rsidR="0010483B" w:rsidRPr="00EE5177" w:rsidRDefault="0010483B" w:rsidP="008A0A72">
      <w:pPr>
        <w:pStyle w:val="ListParagraph"/>
        <w:numPr>
          <w:ilvl w:val="0"/>
          <w:numId w:val="12"/>
        </w:numPr>
      </w:pPr>
      <w:r w:rsidRPr="00EE5177">
        <w:t>research skills; and</w:t>
      </w:r>
    </w:p>
    <w:p w14:paraId="685B2E4E" w14:textId="06D3C3FB" w:rsidR="008A0A72" w:rsidRPr="00EE5177" w:rsidRDefault="0010483B" w:rsidP="00194FAE">
      <w:pPr>
        <w:pStyle w:val="ListParagraph"/>
        <w:numPr>
          <w:ilvl w:val="0"/>
          <w:numId w:val="12"/>
        </w:numPr>
      </w:pPr>
      <w:r w:rsidRPr="00EE5177">
        <w:t>g</w:t>
      </w:r>
      <w:r w:rsidR="008A0A72">
        <w:t>roup work skills.</w:t>
      </w:r>
    </w:p>
    <w:p w14:paraId="42E96586" w14:textId="2099B404" w:rsidR="0010483B" w:rsidRPr="00B16EE2" w:rsidRDefault="0010483B" w:rsidP="00785250">
      <w:pPr>
        <w:pStyle w:val="Heading3"/>
        <w:rPr>
          <w:color w:val="C0504D"/>
        </w:rPr>
      </w:pPr>
      <w:r>
        <w:t xml:space="preserve">Course </w:t>
      </w:r>
      <w:r w:rsidRPr="00EE5177">
        <w:t xml:space="preserve">Theme: Masculinity and </w:t>
      </w:r>
      <w:r>
        <w:t>Femininity in a Digital Age</w:t>
      </w:r>
    </w:p>
    <w:p w14:paraId="0E507694" w14:textId="23F6521A" w:rsidR="0010483B" w:rsidRPr="00B16EE2" w:rsidRDefault="0010483B" w:rsidP="0010483B">
      <w:pPr>
        <w:rPr>
          <w:i/>
          <w:u w:val="single"/>
        </w:rPr>
      </w:pPr>
      <w:r w:rsidRPr="00C878BA">
        <w:t xml:space="preserve">While the focus of this course is on the process of inquiry, the theme “Masculinity and Femininity in a Digital Age” will provide the content that we will use to develop analytical and critical thinking skills. </w:t>
      </w:r>
    </w:p>
    <w:p w14:paraId="509554AA" w14:textId="6BC72B6D" w:rsidR="0010483B" w:rsidRPr="00B16EE2" w:rsidRDefault="0010483B" w:rsidP="0010483B">
      <w:pPr>
        <w:rPr>
          <w:u w:val="single"/>
        </w:rPr>
      </w:pPr>
      <w:r w:rsidRPr="00C878BA">
        <w:t>In the first phase of our class we will begin to examine what “masculinity”, “femininity” and “gender” mean to us, both as individuals and in the larger society. In subsequent classes and in your research paper/capstone assignment you will have the opportunity to further explore how individuals and groups, understand, use and debate ideas about masculinity in everyday life.</w:t>
      </w:r>
    </w:p>
    <w:p w14:paraId="579C6627" w14:textId="2015813B" w:rsidR="0010483B" w:rsidRPr="00C878BA" w:rsidRDefault="0010483B" w:rsidP="0010483B">
      <w:r w:rsidRPr="00C878BA">
        <w:t>There are many ways that people in the social sciences seek to understand the concept of gender: Is it related to culture or economics? Is it a process or a set of facts? Is it determined by biology? Why does it matter? What all agree upon is that social, cultural and economic factors influence how masculinity shapes and influences the world we live in. Social structures such as family, work environment, political structure, as well as our cultural practices -- what we eat, and how we live -- all have consequences for our lives, our health, and</w:t>
      </w:r>
      <w:r w:rsidR="00B16EE2">
        <w:t xml:space="preserve"> our relationships with others.</w:t>
      </w:r>
    </w:p>
    <w:p w14:paraId="48027BA9" w14:textId="253462A0" w:rsidR="0010483B" w:rsidRPr="00EE5177" w:rsidRDefault="0010483B" w:rsidP="0010483B">
      <w:r w:rsidRPr="00C878BA">
        <w:t>The theme of masculinity and the design of this course provide ample flexibility to enable you to engage your own ideas and interests with the topic, while demonstrating the skills of inquiry.</w:t>
      </w:r>
    </w:p>
    <w:p w14:paraId="224EDE42" w14:textId="0B8C8406" w:rsidR="0010483B" w:rsidRPr="00EE5177" w:rsidRDefault="0010483B" w:rsidP="0010483B">
      <w:pPr>
        <w:pStyle w:val="Heading2"/>
      </w:pPr>
      <w:r w:rsidRPr="00EE5177">
        <w:t>Online and Electronic Course Components</w:t>
      </w:r>
    </w:p>
    <w:p w14:paraId="06CF6FD1" w14:textId="77777777" w:rsidR="008A0A72" w:rsidRDefault="0010483B" w:rsidP="008A0A72">
      <w:pPr>
        <w:spacing w:after="0"/>
      </w:pPr>
      <w:r w:rsidRPr="008A0A72">
        <w:rPr>
          <w:rStyle w:val="Heading3Char"/>
        </w:rPr>
        <w:t>Avenue to Learn</w:t>
      </w:r>
      <w:r w:rsidRPr="00EE5177">
        <w:t xml:space="preserve"> </w:t>
      </w:r>
    </w:p>
    <w:p w14:paraId="69F2AD17" w14:textId="77777777" w:rsidR="00F570CB" w:rsidRDefault="0010483B" w:rsidP="008A0A72">
      <w:r w:rsidRPr="00EE5177">
        <w:t xml:space="preserve">In this course we will be using Avenue to Learn (“Avenue”) for the online components of the course. Students should be aware that when they access the electronic components of this course, private information such as first and last names, user names for the </w:t>
      </w:r>
      <w:r w:rsidRPr="00EE5177">
        <w:lastRenderedPageBreak/>
        <w:t xml:space="preserve">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8A0A72" w:rsidRPr="00EE5177">
        <w:t>disclosure,</w:t>
      </w:r>
      <w:r w:rsidRPr="00EE5177">
        <w:t xml:space="preserve"> please discuss this with the course instructor.</w:t>
      </w:r>
    </w:p>
    <w:p w14:paraId="7CBDA7EA" w14:textId="57F6AB4A" w:rsidR="008A0A72" w:rsidRDefault="0010483B" w:rsidP="00DE25BF">
      <w:pPr>
        <w:pStyle w:val="Heading3"/>
      </w:pPr>
      <w:r w:rsidRPr="00DE25BF">
        <w:t>Digital Submissions</w:t>
      </w:r>
      <w:r w:rsidRPr="00EE5177">
        <w:t xml:space="preserve"> </w:t>
      </w:r>
    </w:p>
    <w:p w14:paraId="55C8F6A5" w14:textId="0E7D6CA5" w:rsidR="0010483B" w:rsidRPr="00EE5177" w:rsidRDefault="0010483B" w:rsidP="008A0A72">
      <w:r w:rsidRPr="00EE5177">
        <w:t>The written assignments in this course will be submitted via the digital Drop-Box function on Avenue to Learn, found under the Assessments tab. Many file types are compatible with the submission system, including Microsoft Word, WordPerfect, PostScript, Adobe Acrobat (.pdf), or Rich Text (.rtf) files. If your word processing program uses a file type not listed here, please contact the instructor to check compatibility.</w:t>
      </w:r>
    </w:p>
    <w:p w14:paraId="75E094A4" w14:textId="77777777" w:rsidR="008A0A72" w:rsidRDefault="0010483B" w:rsidP="008A0A72">
      <w:pPr>
        <w:pStyle w:val="Heading3"/>
      </w:pPr>
      <w:r w:rsidRPr="00EE5177">
        <w:t xml:space="preserve">Written Assignments </w:t>
      </w:r>
    </w:p>
    <w:p w14:paraId="4ED38E46" w14:textId="0278F877" w:rsidR="0010483B" w:rsidRPr="00EE5177" w:rsidRDefault="0010483B" w:rsidP="008A0A72">
      <w:pPr>
        <w:rPr>
          <w:b/>
        </w:rPr>
      </w:pPr>
      <w:r w:rsidRPr="00EE5177">
        <w:t>All written assignments are to be typed and double-spaced. Please include a title page with your name, student number and email address, the topic title of the assignment and the date submitted. Printed copies of assignments submitted through Avenue will not be necessary unless explicitly requested.</w:t>
      </w:r>
    </w:p>
    <w:p w14:paraId="46C8D6CE" w14:textId="77777777" w:rsidR="008A0A72" w:rsidRDefault="0010483B" w:rsidP="008A0A72">
      <w:pPr>
        <w:pStyle w:val="Heading3"/>
        <w:rPr>
          <w:b w:val="0"/>
        </w:rPr>
      </w:pPr>
      <w:r w:rsidRPr="00EE5177">
        <w:t>Submitting Assignments Electronically</w:t>
      </w:r>
    </w:p>
    <w:p w14:paraId="30E97610" w14:textId="5BD99F80" w:rsidR="00B16EE2" w:rsidRDefault="0010483B" w:rsidP="008A0A72">
      <w:r w:rsidRPr="00EE5177">
        <w:rPr>
          <w:bCs/>
        </w:rPr>
        <w:t>Individual assignments submitted electronically m</w:t>
      </w:r>
      <w:r w:rsidRPr="00EE5177">
        <w:t>ust somehow include your last name in the filename, e.g.  “Ahmad – Assignment 5.docx” or “Smith_Assignment_5_Article_Assessments.pdf”</w:t>
      </w:r>
    </w:p>
    <w:p w14:paraId="292DC81A" w14:textId="77777777" w:rsidR="008A0A72" w:rsidRDefault="008A0A72" w:rsidP="008A0A72">
      <w:pPr>
        <w:pStyle w:val="Heading3"/>
      </w:pPr>
      <w:r>
        <w:t>Submissions</w:t>
      </w:r>
    </w:p>
    <w:p w14:paraId="45DE629D" w14:textId="2C78E718" w:rsidR="00B16EE2" w:rsidRPr="00B16EE2" w:rsidRDefault="0010483B" w:rsidP="008A0A72">
      <w:pPr>
        <w:rPr>
          <w:color w:val="000000"/>
        </w:rPr>
      </w:pPr>
      <w:r w:rsidRPr="00EE5177">
        <w:t xml:space="preserve">All written work is </w:t>
      </w:r>
      <w:r w:rsidRPr="00EE5177">
        <w:rPr>
          <w:b/>
          <w:bCs/>
        </w:rPr>
        <w:t>due at 1</w:t>
      </w:r>
      <w:r>
        <w:rPr>
          <w:b/>
          <w:bCs/>
        </w:rPr>
        <w:t>1</w:t>
      </w:r>
      <w:r w:rsidRPr="00EE5177">
        <w:rPr>
          <w:b/>
          <w:bCs/>
        </w:rPr>
        <w:t>:5</w:t>
      </w:r>
      <w:r>
        <w:rPr>
          <w:b/>
          <w:bCs/>
        </w:rPr>
        <w:t>9</w:t>
      </w:r>
      <w:r w:rsidRPr="00EE5177">
        <w:rPr>
          <w:b/>
          <w:bCs/>
        </w:rPr>
        <w:t xml:space="preserve"> </w:t>
      </w:r>
      <w:r>
        <w:rPr>
          <w:b/>
          <w:bCs/>
        </w:rPr>
        <w:t>p</w:t>
      </w:r>
      <w:r w:rsidRPr="00EE5177">
        <w:rPr>
          <w:b/>
          <w:bCs/>
        </w:rPr>
        <w:t>.m. on the date stated</w:t>
      </w:r>
      <w:r w:rsidR="008A0A72">
        <w:t xml:space="preserve"> in the </w:t>
      </w:r>
      <w:r w:rsidR="008A0A72">
        <w:rPr>
          <w:b/>
        </w:rPr>
        <w:t>Detailed Course Schedule</w:t>
      </w:r>
      <w:r w:rsidR="008A0A72">
        <w:t xml:space="preserve"> document in the </w:t>
      </w:r>
      <w:r w:rsidR="008A0A72">
        <w:rPr>
          <w:i/>
        </w:rPr>
        <w:t xml:space="preserve">About the Course </w:t>
      </w:r>
      <w:r w:rsidR="008A0A72">
        <w:t>module</w:t>
      </w:r>
      <w:r w:rsidRPr="00EE5177">
        <w:t xml:space="preserve">, unless other arrangements have been made in advance with the instructor. A </w:t>
      </w:r>
      <w:r w:rsidRPr="008A0A72">
        <w:rPr>
          <w:b/>
        </w:rPr>
        <w:t>late penalty of 3%</w:t>
      </w:r>
      <w:r w:rsidRPr="00EE5177">
        <w:t xml:space="preserve"> will apply after the due time on the due date. Further penalties will accumulate beginning the next day (</w:t>
      </w:r>
      <w:r>
        <w:t>6</w:t>
      </w:r>
      <w:r w:rsidRPr="00EE5177">
        <w:t xml:space="preserve">%) and increase by </w:t>
      </w:r>
      <w:r>
        <w:t>3</w:t>
      </w:r>
      <w:r w:rsidRPr="00EE5177">
        <w:t xml:space="preserve">% per day following (including weekends). </w:t>
      </w:r>
      <w:r>
        <w:t xml:space="preserve">Late assignments will only be accepted within the first 7 days after the due date, but will not be accepted thereafter. </w:t>
      </w:r>
      <w:r w:rsidRPr="00EE5177">
        <w:rPr>
          <w:bCs/>
          <w:i/>
          <w:iCs/>
          <w:color w:val="000000"/>
        </w:rPr>
        <w:t>Assignments will be marked and returned in the order in which they were submitted.</w:t>
      </w:r>
    </w:p>
    <w:p w14:paraId="55E78FEE" w14:textId="77777777" w:rsidR="008A0A72" w:rsidRDefault="0010483B" w:rsidP="008A0A72">
      <w:pPr>
        <w:pStyle w:val="Heading3"/>
        <w:rPr>
          <w:b w:val="0"/>
        </w:rPr>
      </w:pPr>
      <w:r w:rsidRPr="00EE5177">
        <w:t xml:space="preserve">Faculty </w:t>
      </w:r>
      <w:r>
        <w:t>o</w:t>
      </w:r>
      <w:r w:rsidRPr="00EE5177">
        <w:t xml:space="preserve">f Social </w:t>
      </w:r>
      <w:r w:rsidRPr="00E07FBD">
        <w:t>Scien</w:t>
      </w:r>
      <w:r w:rsidR="008A0A72" w:rsidRPr="00E07FBD">
        <w:t>ces E-Mail Communication Policy</w:t>
      </w:r>
    </w:p>
    <w:p w14:paraId="32AE8BF8" w14:textId="09AD3C1B" w:rsidR="00B16EE2" w:rsidRDefault="0010483B" w:rsidP="008A0A72">
      <w:pPr>
        <w:rPr>
          <w:b/>
          <w:color w:val="000000"/>
        </w:rPr>
      </w:pPr>
      <w:r w:rsidRPr="00EE5177">
        <w:t>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DD1B7D3" w14:textId="77777777" w:rsidR="008A0A72" w:rsidRPr="00785250" w:rsidRDefault="0010483B" w:rsidP="008A0A72">
      <w:pPr>
        <w:pStyle w:val="Heading3"/>
        <w:rPr>
          <w:rFonts w:eastAsia="Calibri"/>
        </w:rPr>
      </w:pPr>
      <w:r w:rsidRPr="00785250">
        <w:rPr>
          <w:rFonts w:eastAsia="Calibri"/>
        </w:rPr>
        <w:t xml:space="preserve">Avenue </w:t>
      </w:r>
      <w:r w:rsidR="008A0A72" w:rsidRPr="00785250">
        <w:rPr>
          <w:rFonts w:eastAsia="Calibri"/>
        </w:rPr>
        <w:t>Mail</w:t>
      </w:r>
    </w:p>
    <w:p w14:paraId="4C77E3FB" w14:textId="3B0F1CD4" w:rsidR="0010483B" w:rsidRPr="00B16EE2" w:rsidRDefault="0010483B" w:rsidP="008A0A72">
      <w:pPr>
        <w:rPr>
          <w:b/>
          <w:color w:val="000000"/>
        </w:rPr>
      </w:pPr>
      <w:r w:rsidRPr="00EE5177">
        <w:rPr>
          <w:rFonts w:eastAsia="Calibri"/>
        </w:rPr>
        <w:t>Please</w:t>
      </w:r>
      <w:r w:rsidRPr="00EE5177">
        <w:rPr>
          <w:rFonts w:eastAsia="Calibri"/>
          <w:b/>
          <w:bCs/>
        </w:rPr>
        <w:t xml:space="preserve"> </w:t>
      </w:r>
      <w:r w:rsidRPr="00EE5177">
        <w:rPr>
          <w:rFonts w:eastAsia="Calibri"/>
        </w:rPr>
        <w:t>use your McMaster e-mail account to contact the instructor. There</w:t>
      </w:r>
      <w:r w:rsidRPr="00EE5177">
        <w:rPr>
          <w:rFonts w:eastAsia="Calibri"/>
          <w:b/>
          <w:bCs/>
        </w:rPr>
        <w:t xml:space="preserve"> </w:t>
      </w:r>
      <w:r w:rsidRPr="00EE5177">
        <w:rPr>
          <w:rFonts w:eastAsia="Calibri"/>
        </w:rPr>
        <w:t xml:space="preserve">is a technical difference between the Mail feature in Avenue to Learn and the McMaster e-mail </w:t>
      </w:r>
      <w:r w:rsidRPr="00EE5177">
        <w:rPr>
          <w:rFonts w:eastAsia="Calibri"/>
        </w:rPr>
        <w:lastRenderedPageBreak/>
        <w:t>services, including the mail service used by most instructors. Messages sent from Avenue to e-mail, for example, can often cause unhelpful delays and errors.</w:t>
      </w:r>
    </w:p>
    <w:p w14:paraId="053CFB38" w14:textId="62138C11" w:rsidR="00785250" w:rsidRDefault="00785250" w:rsidP="00785250">
      <w:pPr>
        <w:pStyle w:val="Heading2"/>
      </w:pPr>
      <w:r>
        <w:t>Online Course Engagement</w:t>
      </w:r>
    </w:p>
    <w:p w14:paraId="26709F61" w14:textId="77777777" w:rsidR="00785250" w:rsidRDefault="00785250" w:rsidP="00785250">
      <w:pPr>
        <w:pStyle w:val="Heading3"/>
      </w:pPr>
      <w:r>
        <w:t>Prepare for Collaboration</w:t>
      </w:r>
    </w:p>
    <w:p w14:paraId="499F01CD" w14:textId="0E97E103" w:rsidR="00785250" w:rsidRPr="00785250" w:rsidRDefault="00785250" w:rsidP="00785250">
      <w:r>
        <w:t xml:space="preserve">This course is designed as an interactive online environment in which the members of the class can </w:t>
      </w:r>
      <w:r w:rsidR="000B7DC0">
        <w:t>interact, converse, and learn from one another. Many other online courses focus on individual completion of tasks and do not require much meaningful interaction between students. This course, in contrast, does include many opportunities to engage with and learn from others. There are no ‘group work’ assignments, so you will not be required to meet up with or sync up with other students. But you should expect to provide and receive feedback in alternating steps.</w:t>
      </w:r>
    </w:p>
    <w:p w14:paraId="725A9CED" w14:textId="0F3A96A4" w:rsidR="00785250" w:rsidRPr="00785250" w:rsidRDefault="00785250" w:rsidP="00785250">
      <w:pPr>
        <w:pStyle w:val="Heading3"/>
      </w:pPr>
      <w:r>
        <w:t>Please Engage Regularly</w:t>
      </w:r>
    </w:p>
    <w:p w14:paraId="4210E6C0" w14:textId="590C07B6" w:rsidR="00785250" w:rsidRDefault="00785250" w:rsidP="00785250">
      <w:r>
        <w:t>While this course is delivered online, it is designed as a ‘synchronous’ rather than ‘asynchronous’ course. This means that the course community will work through the inquiry process together, at a fairly even pace. Assignment due dates will serve as benchmarks and checkpoints for our shared and interactive learning. While the online format will allow you flexibility in time management day-to-day and week-to-week.</w:t>
      </w:r>
    </w:p>
    <w:p w14:paraId="7D1FD316" w14:textId="41ED110B" w:rsidR="00785250" w:rsidRDefault="00785250" w:rsidP="00785250">
      <w:pPr>
        <w:pStyle w:val="Heading3"/>
      </w:pPr>
      <w:r>
        <w:t>Expect a Steady, Even Workload</w:t>
      </w:r>
    </w:p>
    <w:p w14:paraId="3E118A22" w14:textId="77777777" w:rsidR="00785250" w:rsidRDefault="00785250" w:rsidP="00785250">
      <w:r>
        <w:t>The course components are not meant to be ‘binged’, and so unlike some online courses they will not be released all at once up front. Instead, content will be staggered in order to allow you to get a bit ahead and manage your time (but not to ‘skip ahead’ or ‘race ahead’). In addition, most course content will be released ‘conditionally’, meaning that before you access the next step you will need to have completed the previous step.</w:t>
      </w:r>
    </w:p>
    <w:p w14:paraId="1E438E62" w14:textId="3252E372" w:rsidR="00785250" w:rsidRDefault="000B7DC0" w:rsidP="00785250">
      <w:pPr>
        <w:pStyle w:val="Heading3"/>
      </w:pPr>
      <w:r>
        <w:t xml:space="preserve">Please </w:t>
      </w:r>
      <w:r w:rsidR="00785250">
        <w:t>Stay in Touch if You Fall Behind</w:t>
      </w:r>
    </w:p>
    <w:p w14:paraId="39D7285C" w14:textId="739FF4DF" w:rsidR="00785250" w:rsidRDefault="00785250" w:rsidP="00785250">
      <w:r>
        <w:t xml:space="preserve">In order to keep pace, students should expect to spend 7-9 hours per week on the course, with a backlog of work accumulating for missed time. </w:t>
      </w:r>
      <w:r w:rsidRPr="00E62801">
        <w:rPr>
          <w:b/>
          <w:bCs/>
        </w:rPr>
        <w:t>Please e-mail me (the instructor) to coordinate a recovery plan if you are not able to fulfil this time commitment for two (2) or more weeks in a row.</w:t>
      </w:r>
      <w:r>
        <w:t xml:space="preserve"> See ‘Expected Time Commitment’ above.</w:t>
      </w:r>
    </w:p>
    <w:p w14:paraId="62BF999E" w14:textId="69B74EFC" w:rsidR="0010483B" w:rsidRPr="00EE5177" w:rsidRDefault="0010483B" w:rsidP="00B16EE2">
      <w:pPr>
        <w:pStyle w:val="Heading2"/>
      </w:pPr>
      <w:r w:rsidRPr="00EE5177">
        <w:t>Academic Integrity</w:t>
      </w:r>
    </w:p>
    <w:p w14:paraId="6B753988" w14:textId="77777777" w:rsidR="0010483B" w:rsidRDefault="0010483B" w:rsidP="0010483B">
      <w:pPr>
        <w:pStyle w:val="Heading3"/>
      </w:pPr>
      <w:r w:rsidRPr="00EE5177">
        <w:t>University Policy on Academic Dishonesty</w:t>
      </w:r>
    </w:p>
    <w:p w14:paraId="0B2D0F45" w14:textId="77777777" w:rsidR="0010483B" w:rsidRPr="00EE5177" w:rsidRDefault="0010483B" w:rsidP="0010483B">
      <w:pPr>
        <w:rPr>
          <w:b/>
          <w:bCs/>
        </w:rPr>
      </w:pPr>
      <w:r w:rsidRPr="00EE5177">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14:paraId="195ECFF2" w14:textId="77777777" w:rsidR="0010483B" w:rsidRDefault="0010483B" w:rsidP="0010483B">
      <w:pPr>
        <w:pStyle w:val="Heading3"/>
      </w:pPr>
      <w:r w:rsidRPr="00EE5177">
        <w:lastRenderedPageBreak/>
        <w:t>Avoiding Academic Dishonesty</w:t>
      </w:r>
    </w:p>
    <w:p w14:paraId="655C42AA" w14:textId="77777777" w:rsidR="0010483B" w:rsidRPr="00EE5177" w:rsidRDefault="0010483B" w:rsidP="0010483B">
      <w:pPr>
        <w:pStyle w:val="Default"/>
        <w:rPr>
          <w:rFonts w:ascii="Arial" w:hAnsi="Arial" w:cs="Arial"/>
          <w:color w:val="auto"/>
        </w:rPr>
      </w:pPr>
      <w:r w:rsidRPr="00EE5177">
        <w:rPr>
          <w:rFonts w:ascii="Arial" w:hAnsi="Arial" w:cs="Arial"/>
          <w:color w:val="auto"/>
        </w:rPr>
        <w:t xml:space="preserve">It is your responsibility to understand what constitutes academic dishonesty. For information on the various types of academic dishonesty please refer to the McMaster Academic Integrity Policy, located at </w:t>
      </w:r>
      <w:hyperlink r:id="rId9" w:history="1">
        <w:r w:rsidRPr="00EE5177">
          <w:rPr>
            <w:rStyle w:val="Hyperlink"/>
            <w:rFonts w:ascii="Arial" w:hAnsi="Arial" w:cs="Arial"/>
          </w:rPr>
          <w:t>http://www.mcmaster.ca/academicintegrity</w:t>
        </w:r>
      </w:hyperlink>
      <w:r w:rsidRPr="00EE5177">
        <w:rPr>
          <w:rFonts w:ascii="Arial" w:hAnsi="Arial" w:cs="Arial"/>
          <w:color w:val="auto"/>
          <w:u w:val="single"/>
        </w:rPr>
        <w:t>.</w:t>
      </w:r>
      <w:r w:rsidRPr="00EE5177">
        <w:rPr>
          <w:rFonts w:ascii="Arial" w:hAnsi="Arial" w:cs="Arial"/>
          <w:color w:val="auto"/>
        </w:rPr>
        <w:t xml:space="preserve"> The following illustrates only a few forms of academic dishonesty: </w:t>
      </w:r>
    </w:p>
    <w:p w14:paraId="1F76661A" w14:textId="77777777" w:rsidR="0010483B" w:rsidRPr="00EE5177" w:rsidRDefault="0010483B" w:rsidP="0010483B">
      <w:pPr>
        <w:pStyle w:val="Default"/>
        <w:ind w:firstLine="720"/>
        <w:rPr>
          <w:rFonts w:ascii="Arial" w:hAnsi="Arial" w:cs="Arial"/>
          <w:color w:val="auto"/>
        </w:rPr>
      </w:pPr>
    </w:p>
    <w:p w14:paraId="1C37ADF8" w14:textId="77777777" w:rsidR="0010483B" w:rsidRPr="00EE5177" w:rsidRDefault="0010483B" w:rsidP="008A0A72">
      <w:pPr>
        <w:pStyle w:val="ListParagraph"/>
        <w:numPr>
          <w:ilvl w:val="0"/>
          <w:numId w:val="13"/>
        </w:numPr>
      </w:pPr>
      <w:r w:rsidRPr="00EE5177">
        <w:t>Submitting work that is not your own.</w:t>
      </w:r>
    </w:p>
    <w:p w14:paraId="1F19B140" w14:textId="77777777" w:rsidR="0010483B" w:rsidRPr="00EE5177" w:rsidRDefault="0010483B" w:rsidP="008A0A72">
      <w:pPr>
        <w:pStyle w:val="ListParagraph"/>
        <w:numPr>
          <w:ilvl w:val="0"/>
          <w:numId w:val="13"/>
        </w:numPr>
      </w:pPr>
      <w:r w:rsidRPr="00EE5177">
        <w:t>Submitting your own material for which other credit has already been obtained in another course.</w:t>
      </w:r>
    </w:p>
    <w:p w14:paraId="37B1B9E5" w14:textId="77777777" w:rsidR="0010483B" w:rsidRPr="00EE5177" w:rsidRDefault="0010483B" w:rsidP="008A0A72">
      <w:pPr>
        <w:pStyle w:val="ListParagraph"/>
        <w:numPr>
          <w:ilvl w:val="0"/>
          <w:numId w:val="13"/>
        </w:numPr>
      </w:pPr>
      <w:r w:rsidRPr="00EE5177">
        <w:t>Using another writer’s sentences, phrasing, or writing structure without properly indicating your debt by using quotation marks.</w:t>
      </w:r>
    </w:p>
    <w:p w14:paraId="38355145" w14:textId="77777777" w:rsidR="0010483B" w:rsidRPr="00EE5177" w:rsidRDefault="0010483B" w:rsidP="008A0A72">
      <w:pPr>
        <w:pStyle w:val="ListParagraph"/>
        <w:numPr>
          <w:ilvl w:val="0"/>
          <w:numId w:val="13"/>
        </w:numPr>
      </w:pPr>
      <w:r w:rsidRPr="00EE5177">
        <w:t>Neglecting to properly cite the source of your ideas.</w:t>
      </w:r>
    </w:p>
    <w:p w14:paraId="707B9E0D" w14:textId="77777777" w:rsidR="0010483B" w:rsidRPr="00EE5177" w:rsidRDefault="0010483B" w:rsidP="008A0A72">
      <w:pPr>
        <w:pStyle w:val="ListParagraph"/>
        <w:numPr>
          <w:ilvl w:val="0"/>
          <w:numId w:val="13"/>
        </w:numPr>
      </w:pPr>
      <w:r w:rsidRPr="00EE5177">
        <w:t xml:space="preserve">Improper collaboration in non-group work. </w:t>
      </w:r>
    </w:p>
    <w:p w14:paraId="516B5EB2" w14:textId="77777777" w:rsidR="0010483B" w:rsidRPr="00EE5177" w:rsidRDefault="0010483B" w:rsidP="008A0A72">
      <w:pPr>
        <w:pStyle w:val="ListParagraph"/>
        <w:numPr>
          <w:ilvl w:val="0"/>
          <w:numId w:val="13"/>
        </w:numPr>
      </w:pPr>
      <w:r w:rsidRPr="00EE5177">
        <w:t>Copying or using unauthorized aids in tests and examinations.</w:t>
      </w:r>
    </w:p>
    <w:p w14:paraId="1F1CA3D0" w14:textId="77777777" w:rsidR="0010483B" w:rsidRPr="00EE5177" w:rsidRDefault="0010483B" w:rsidP="008A0A72">
      <w:pPr>
        <w:pStyle w:val="ListParagraph"/>
        <w:numPr>
          <w:ilvl w:val="0"/>
          <w:numId w:val="13"/>
        </w:numPr>
      </w:pPr>
      <w:r w:rsidRPr="00EE5177">
        <w:t>Requesting accommodation or exceptions in bad faith or under false pretenses.</w:t>
      </w:r>
    </w:p>
    <w:p w14:paraId="300A3FD8" w14:textId="77777777" w:rsidR="0010483B" w:rsidRDefault="0010483B" w:rsidP="0010483B">
      <w:pPr>
        <w:pStyle w:val="Heading3"/>
      </w:pPr>
      <w:r w:rsidRPr="00EE5177">
        <w:t>Quotation Marks</w:t>
      </w:r>
    </w:p>
    <w:p w14:paraId="14400A9A" w14:textId="6635A013" w:rsidR="0010483B" w:rsidRPr="00EE5177" w:rsidRDefault="0010483B" w:rsidP="0010483B">
      <w:r w:rsidRPr="00EE5177">
        <w:t xml:space="preserve">Anytime you borrow the wording or phrasing of a research source in your writing, you must indicate properly acknowledge your re-use by putting the borrowed wording or phrasing in quotation marks (i.e. “these”). It is </w:t>
      </w:r>
      <w:r w:rsidRPr="00EE5177">
        <w:rPr>
          <w:bCs/>
          <w:color w:val="000000"/>
          <w:u w:val="single"/>
        </w:rPr>
        <w:t>not</w:t>
      </w:r>
      <w:r w:rsidRPr="00EE5177">
        <w:t xml:space="preserve"> enough to add a citation</w:t>
      </w:r>
      <w:r w:rsidR="00E07FBD">
        <w:t>.</w:t>
      </w:r>
      <w:r w:rsidRPr="00EE5177">
        <w:t xml:space="preserve"> </w:t>
      </w:r>
      <w:r w:rsidR="00E07FBD">
        <w:t>A</w:t>
      </w:r>
      <w:r w:rsidRPr="00EE5177">
        <w:t xml:space="preserve"> citation gives credit for the idea, but without quotation marks it is implied that the wording and phrasing are of your own creation and authorship. You may put full quoted sentences in quotation marks</w:t>
      </w:r>
      <w:r w:rsidR="00E07FBD">
        <w:t xml:space="preserve">. However, </w:t>
      </w:r>
      <w:r w:rsidRPr="00EE5177">
        <w:t xml:space="preserve">you may also quote only half a sentence and merge it with your own half sentence to make a </w:t>
      </w:r>
      <w:r w:rsidRPr="00EE5177">
        <w:rPr>
          <w:i/>
        </w:rPr>
        <w:t xml:space="preserve">blended quotation. </w:t>
      </w:r>
      <w:r w:rsidRPr="00EE5177">
        <w:t xml:space="preserve">If you are trying to paraphrase but can’t find a better way to express a particular phrase, you can also put just a few borrowed words in quotation marks and do a </w:t>
      </w:r>
      <w:r w:rsidRPr="00EE5177">
        <w:rPr>
          <w:i/>
        </w:rPr>
        <w:t>fragment quotation.</w:t>
      </w:r>
      <w:r w:rsidRPr="00EE5177">
        <w:t xml:space="preserve"> You can quote several sentences in a row, too</w:t>
      </w:r>
      <w:r w:rsidR="00E07FBD">
        <w:t xml:space="preserve"> --</w:t>
      </w:r>
      <w:r w:rsidRPr="00EE5177">
        <w:t xml:space="preserve"> but if you do, you should look up the formatting guidelines for </w:t>
      </w:r>
      <w:r w:rsidRPr="00EE5177">
        <w:rPr>
          <w:i/>
        </w:rPr>
        <w:t xml:space="preserve">block quotations. </w:t>
      </w:r>
      <w:r w:rsidRPr="00EE5177">
        <w:t>Note: whenever you borrow wording, you should both use quotation marks and provide a citation giving the author credit.</w:t>
      </w:r>
    </w:p>
    <w:p w14:paraId="6BEE1348" w14:textId="77777777" w:rsidR="0010483B" w:rsidRDefault="0010483B" w:rsidP="0010483B">
      <w:pPr>
        <w:pStyle w:val="Heading3"/>
      </w:pPr>
      <w:r w:rsidRPr="00EE5177">
        <w:t>Originality Checking</w:t>
      </w:r>
    </w:p>
    <w:p w14:paraId="26F187BA" w14:textId="03110AAF" w:rsidR="0010483B" w:rsidRPr="00B16EE2" w:rsidRDefault="0010483B" w:rsidP="00B16EE2">
      <w:pPr>
        <w:rPr>
          <w:b/>
          <w:color w:val="FF0000"/>
        </w:rPr>
      </w:pPr>
      <w:r w:rsidRPr="00EE5177">
        <w:t xml:space="preserve">In this course we will be using a web-based service (Turnitin.com) to reveal plagiarism. Digital work submitted via </w:t>
      </w:r>
      <w:r w:rsidRPr="00EE5177">
        <w:rPr>
          <w:i/>
          <w:iCs/>
        </w:rPr>
        <w:t>Avenue to Learn</w:t>
      </w:r>
      <w:r w:rsidRPr="00EE5177">
        <w:t xml:space="preserve"> will</w:t>
      </w:r>
      <w:r w:rsidRPr="00EE5177">
        <w:rPr>
          <w:i/>
          <w:iCs/>
        </w:rPr>
        <w:t xml:space="preserve"> </w:t>
      </w:r>
      <w:r w:rsidRPr="00EE5177">
        <w:t>be automatically submitted to Turnitin.com so that it can be checked for academic dishonesty, and so that the paper can be marked digitally using the</w:t>
      </w:r>
      <w:r w:rsidRPr="00EE5177">
        <w:rPr>
          <w:i/>
          <w:iCs/>
        </w:rPr>
        <w:t xml:space="preserve"> </w:t>
      </w:r>
      <w:r w:rsidRPr="00EE5177">
        <w:t xml:space="preserve">service’s digital feedback system. Students who do not wish to submit their work to Turnitin.com have the right to arrange, with the instructor, an alternate submission method that bypasses Turnitin. No penalty will be assigned to a student who does not submit work to Turnitin.com.  All submitted work is subject to normal verification that standards of academic integrity have been upheld (e.g., on-line search, etc.). To see the Turnitin.com Policy, please go to: </w:t>
      </w:r>
      <w:hyperlink r:id="rId10" w:history="1">
        <w:r w:rsidRPr="00EE5177">
          <w:rPr>
            <w:rStyle w:val="Hyperlink"/>
            <w:bCs/>
          </w:rPr>
          <w:t>www.mcmaster.ca/academicintegrity</w:t>
        </w:r>
      </w:hyperlink>
    </w:p>
    <w:p w14:paraId="1E1C8AD1" w14:textId="52096166" w:rsidR="0010483B" w:rsidRPr="00EE5177" w:rsidRDefault="0010483B" w:rsidP="00B16EE2">
      <w:pPr>
        <w:pStyle w:val="Heading2"/>
      </w:pPr>
      <w:r w:rsidRPr="00EE5177">
        <w:t>Reporting Missed Academic Work</w:t>
      </w:r>
    </w:p>
    <w:p w14:paraId="2F5EC960" w14:textId="5C405631" w:rsidR="0010483B" w:rsidRPr="004E0865" w:rsidRDefault="0010483B" w:rsidP="00B16EE2">
      <w:pPr>
        <w:pStyle w:val="Heading3"/>
      </w:pPr>
      <w:r w:rsidRPr="00EE5177">
        <w:t>McMaster Student Absence Form (MSAF)</w:t>
      </w:r>
    </w:p>
    <w:p w14:paraId="203C0CDF" w14:textId="0D6B680F" w:rsidR="0010483B" w:rsidRPr="00EE5177" w:rsidRDefault="0010483B" w:rsidP="0010483B">
      <w:r w:rsidRPr="00EE5177">
        <w:rPr>
          <w:bCs/>
        </w:rPr>
        <w:t>The MSAF is an</w:t>
      </w:r>
      <w:r w:rsidRPr="00EE5177">
        <w:rPr>
          <w:b/>
        </w:rPr>
        <w:t xml:space="preserve"> </w:t>
      </w:r>
      <w:r w:rsidRPr="00EE5177">
        <w:t>on-line self-reporting tool for </w:t>
      </w:r>
      <w:r w:rsidRPr="00EE5177">
        <w:rPr>
          <w:bCs/>
        </w:rPr>
        <w:t>undergrad students</w:t>
      </w:r>
      <w:r w:rsidRPr="00EE5177">
        <w:t xml:space="preserve"> to report missed academic work. The MSAF gives you the ability to request consideration for missed </w:t>
      </w:r>
      <w:r w:rsidRPr="00EE5177">
        <w:lastRenderedPageBreak/>
        <w:t xml:space="preserve">work (worth less than 25% of the final grade) due to illness or injury lasting 3 days or less. </w:t>
      </w:r>
      <w:r w:rsidRPr="00EE5177">
        <w:rPr>
          <w:bCs/>
        </w:rPr>
        <w:t>You must visit McMaster’s online MOSAIC system to locate the MSAF to report your absence</w:t>
      </w:r>
      <w:r w:rsidRPr="00EE5177">
        <w:rPr>
          <w:rFonts w:eastAsia="Arial Unicode MS"/>
          <w:bCs/>
        </w:rPr>
        <w:t xml:space="preserve">. </w:t>
      </w:r>
      <w:r w:rsidRPr="00EE5177">
        <w:t xml:space="preserve">This form should be filled out as soon as possible after your absence. It is </w:t>
      </w:r>
      <w:r>
        <w:t>your</w:t>
      </w:r>
      <w:r w:rsidRPr="00EE5177">
        <w:t xml:space="preserve"> responsibility to follow up with your instructor immediately (within 48 hours of submitting the MSAF) in person or by email regarding the nature of the relief that may be possible for the missed work. Whether consideration is given for missed work, and the type of consideration provide, is </w:t>
      </w:r>
      <w:r w:rsidR="00B16EE2">
        <w:t>the decision of the instructor.</w:t>
      </w:r>
    </w:p>
    <w:p w14:paraId="6F639065" w14:textId="2506F0CC" w:rsidR="0010483B" w:rsidRPr="004E0865" w:rsidRDefault="0010483B" w:rsidP="00B16EE2">
      <w:pPr>
        <w:pStyle w:val="Heading3"/>
      </w:pPr>
      <w:r>
        <w:t xml:space="preserve">MSAF </w:t>
      </w:r>
      <w:r w:rsidRPr="00EE5177">
        <w:t>Limitations</w:t>
      </w:r>
    </w:p>
    <w:p w14:paraId="03636165" w14:textId="3847BE28" w:rsidR="0010483B" w:rsidRPr="00EE5177" w:rsidRDefault="0010483B" w:rsidP="0010483B">
      <w:r w:rsidRPr="00EE5177">
        <w:t xml:space="preserve">You may submit only 1 MSAF per term without supporting documentation. An MSAF cannot be used for any final examination.  </w:t>
      </w:r>
    </w:p>
    <w:p w14:paraId="7BC653BB" w14:textId="38F43E8A" w:rsidR="0010483B" w:rsidRPr="004E0865" w:rsidRDefault="0010483B" w:rsidP="00B16EE2">
      <w:pPr>
        <w:pStyle w:val="Heading3"/>
      </w:pPr>
      <w:r w:rsidRPr="00EE5177">
        <w:t>Longer or Successive Absences</w:t>
      </w:r>
    </w:p>
    <w:p w14:paraId="15E154A4" w14:textId="4E8368A5" w:rsidR="0010483B" w:rsidRPr="00EE5177" w:rsidRDefault="0010483B" w:rsidP="0010483B">
      <w:r w:rsidRPr="00EE5177">
        <w:t xml:space="preserve">For absences longer than 3 days, for reasons other than illness or injury, or for missed work worth 25% or more of the course grade, you must </w:t>
      </w:r>
      <w:r>
        <w:t>contact</w:t>
      </w:r>
      <w:r w:rsidRPr="00EE5177">
        <w:t xml:space="preserve"> the Faculty of Social Sciences office to request an MSAF exception link.  You will be required to provide appropriate supporting documentation to the Faculty office before an exception link with be approved. You may also be required to meet with an academic advisor.</w:t>
      </w:r>
    </w:p>
    <w:p w14:paraId="36FE4AA6" w14:textId="147D578B" w:rsidR="0010483B" w:rsidRPr="004E0865" w:rsidRDefault="0010483B" w:rsidP="00B16EE2">
      <w:pPr>
        <w:pStyle w:val="Heading3"/>
      </w:pPr>
      <w:r w:rsidRPr="00EE5177">
        <w:t>Privacy</w:t>
      </w:r>
    </w:p>
    <w:p w14:paraId="2E20BD72" w14:textId="33B7D7C2" w:rsidR="0010483B" w:rsidRPr="00B16EE2" w:rsidRDefault="0010483B" w:rsidP="0010483B">
      <w:pPr>
        <w:rPr>
          <w:bCs/>
        </w:rPr>
      </w:pPr>
      <w:r w:rsidRPr="00EE5177">
        <w:t xml:space="preserve">You must NOT submit any medical or other relevant documentation to your instructor.  Your instructor may NOT ask you for such documentation. </w:t>
      </w:r>
      <w:r w:rsidRPr="00EE5177">
        <w:rPr>
          <w:bCs/>
        </w:rPr>
        <w:t>You are not required to share the details of your medical or personal situation with any instructor. And the instructor may not ask for any such medical or personal information</w:t>
      </w:r>
      <w:r w:rsidR="00B16EE2">
        <w:rPr>
          <w:bCs/>
        </w:rPr>
        <w:t>.</w:t>
      </w:r>
    </w:p>
    <w:p w14:paraId="4B187985" w14:textId="38544160" w:rsidR="0010483B" w:rsidRDefault="0010483B" w:rsidP="00B16EE2">
      <w:pPr>
        <w:pStyle w:val="Heading3"/>
      </w:pPr>
      <w:r w:rsidRPr="00EE5177">
        <w:t>Responsibilities</w:t>
      </w:r>
    </w:p>
    <w:p w14:paraId="22FDD048" w14:textId="7429A095" w:rsidR="0010483B" w:rsidRPr="00EE5177" w:rsidRDefault="0010483B" w:rsidP="0010483B">
      <w:r w:rsidRPr="00EE5177">
        <w:t>The purpose of the MSAF is to provide students who miss academic work because of illness or injury with the ability to still fulfill the requirements of the course. However, the MSAF is NOT intended as a time or workload management tool, or as a holiday organizer. As a student you are responsible for using the MSAF tool as it was intended, and to not misuse or abuse it for other reasons.  You can also help to prevent any unexpected medical situations from jeopardizing the on time completion of your academic work by starting assignments and studying as early as possible.</w:t>
      </w:r>
    </w:p>
    <w:p w14:paraId="7E63CB5E" w14:textId="15000A66" w:rsidR="0010483B" w:rsidRDefault="0010483B" w:rsidP="00B16EE2">
      <w:pPr>
        <w:pStyle w:val="Heading3"/>
      </w:pPr>
      <w:r w:rsidRPr="00EE5177">
        <w:t>Follow-Up E-Mail</w:t>
      </w:r>
    </w:p>
    <w:p w14:paraId="59295B86" w14:textId="4186A2AD" w:rsidR="0010483B" w:rsidRPr="00EE5177" w:rsidRDefault="0010483B" w:rsidP="0010483B">
      <w:r w:rsidRPr="00EE5177">
        <w:t>In order to arrange for MSAF accommodation, you must e-mail the instructor as soon as possible after submitting your MSAF form. Your message to the instructor should include the following information:</w:t>
      </w:r>
    </w:p>
    <w:p w14:paraId="22A91593" w14:textId="77777777" w:rsidR="0010483B" w:rsidRPr="00EE5177" w:rsidRDefault="0010483B" w:rsidP="0010483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If the missed work was an assignment, explain the work that you had completed before your absence and any work you have completed following your absence.</w:t>
      </w:r>
    </w:p>
    <w:p w14:paraId="4BAD5F79" w14:textId="77777777" w:rsidR="0010483B" w:rsidRPr="00EE5177" w:rsidRDefault="0010483B" w:rsidP="00F570CB">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pPr>
      <w:r w:rsidRPr="00EE5177">
        <w:t>Propose a new deadline to submit the assignment, or, for tests, identify blocks of time when you are available to complete the assignment outside of class time.</w:t>
      </w:r>
    </w:p>
    <w:p w14:paraId="2519D8BB" w14:textId="795FE4BD" w:rsidR="0010483B" w:rsidRPr="00EE5177" w:rsidRDefault="0010483B" w:rsidP="00B16EE2">
      <w:pPr>
        <w:pStyle w:val="Heading2"/>
      </w:pPr>
      <w:r w:rsidRPr="00EE5177">
        <w:lastRenderedPageBreak/>
        <w:t>Academic Accommodations:</w:t>
      </w:r>
    </w:p>
    <w:p w14:paraId="636DCBD0" w14:textId="3D63AC4B" w:rsidR="0010483B" w:rsidRDefault="0010483B" w:rsidP="00B16EE2">
      <w:pPr>
        <w:pStyle w:val="Heading3"/>
      </w:pPr>
      <w:r w:rsidRPr="00EE5177">
        <w:t>Student Accessibility Services (SAS)</w:t>
      </w:r>
    </w:p>
    <w:p w14:paraId="1AF951EA" w14:textId="62E62C1B" w:rsidR="0010483B" w:rsidRPr="00B16EE2" w:rsidRDefault="0010483B" w:rsidP="0010483B">
      <w:pPr>
        <w:rPr>
          <w:rStyle w:val="Strong"/>
          <w:b w:val="0"/>
          <w:bCs w:val="0"/>
          <w:color w:val="auto"/>
        </w:rPr>
      </w:pPr>
      <w:r w:rsidRPr="00EE5177">
        <w:t xml:space="preserve">Students who require academic accommodations must contact Student Accessibility Services (SAS) to make arrangements with a Program Coordinator.  Academic accommodations must be arranged for each term of study.  Student Accessibility Services can be contacted by phone at 905-525-9140 ext. 28652, or by email at </w:t>
      </w:r>
      <w:hyperlink r:id="rId11" w:history="1">
        <w:r w:rsidRPr="00EE5177">
          <w:rPr>
            <w:rStyle w:val="Hyperlink"/>
          </w:rPr>
          <w:t>sas@mcmaster.ca</w:t>
        </w:r>
      </w:hyperlink>
      <w:r w:rsidRPr="00EE5177">
        <w:t xml:space="preserve">. For further information, consult McMaster University’s Policy for </w:t>
      </w:r>
      <w:hyperlink r:id="rId12" w:history="1">
        <w:r w:rsidRPr="00EE5177">
          <w:rPr>
            <w:rStyle w:val="Hyperlink"/>
          </w:rPr>
          <w:t>Academic Accommodation for Students with Disabilities</w:t>
        </w:r>
      </w:hyperlink>
      <w:r w:rsidRPr="00EE5177">
        <w:t>.</w:t>
      </w:r>
    </w:p>
    <w:p w14:paraId="448BC0C4" w14:textId="25F6A20F" w:rsidR="0010483B" w:rsidRPr="00B16EE2" w:rsidRDefault="0010483B" w:rsidP="00B16EE2">
      <w:pPr>
        <w:pStyle w:val="Heading3"/>
      </w:pPr>
      <w:r w:rsidRPr="00B16EE2">
        <w:rPr>
          <w:rStyle w:val="Strong"/>
          <w:rFonts w:asciiTheme="majorHAnsi" w:hAnsiTheme="majorHAnsi" w:cstheme="majorBidi"/>
          <w:b/>
          <w:bCs w:val="0"/>
          <w:color w:val="1F4D78" w:themeColor="accent1" w:themeShade="7F"/>
          <w:sz w:val="28"/>
        </w:rPr>
        <w:t>Responsibilities as a Student Registered at SAS</w:t>
      </w:r>
    </w:p>
    <w:p w14:paraId="7A6682E9" w14:textId="1BD8BCD7" w:rsidR="0010483B" w:rsidRPr="00EE5177" w:rsidRDefault="0010483B" w:rsidP="0010483B">
      <w:r w:rsidRPr="00EE5177">
        <w:t xml:space="preserve">SAS </w:t>
      </w:r>
      <w:r w:rsidRPr="00EE5177">
        <w:rPr>
          <w:lang w:val="en-GB"/>
        </w:rPr>
        <w:t>assists with academic and disability-related resources for students with a variety of learning needs. If you require academic accommodation through SAS,</w:t>
      </w:r>
      <w:r w:rsidRPr="00EE5177">
        <w:t xml:space="preserve"> be sure that you arrange your accommodations with SAS as early as possible, and ensure that the instructor receives a copy of your accommodation letter as early as possible in the term.</w:t>
      </w:r>
      <w:r w:rsidR="00B16EE2">
        <w:t xml:space="preserve"> </w:t>
      </w:r>
    </w:p>
    <w:p w14:paraId="49B91051" w14:textId="77777777" w:rsidR="0010483B" w:rsidRPr="00EE5177" w:rsidRDefault="0010483B" w:rsidP="0010483B">
      <w:pPr>
        <w:rPr>
          <w:bCs/>
        </w:rPr>
      </w:pPr>
      <w:r w:rsidRPr="00EE5177">
        <w:t>Students registered with SAS are responsible for:</w:t>
      </w:r>
    </w:p>
    <w:p w14:paraId="5BB3CE03" w14:textId="77777777" w:rsidR="0010483B" w:rsidRPr="00EE5177" w:rsidRDefault="0010483B" w:rsidP="0010483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meeting their SAS Program Coordinator prior to, or at the start of each academic term (September, January and summer sessions);</w:t>
      </w:r>
    </w:p>
    <w:p w14:paraId="1BF33A16" w14:textId="77777777" w:rsidR="0010483B" w:rsidRPr="00EE5177" w:rsidRDefault="0010483B" w:rsidP="0010483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providing their SAS Program Coordinator with relevant and professional medical or psychological documentation;</w:t>
      </w:r>
    </w:p>
    <w:p w14:paraId="5D080E2B" w14:textId="77777777" w:rsidR="0010483B" w:rsidRPr="00EE5177" w:rsidRDefault="0010483B" w:rsidP="0010483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notifying their SAS Program Coordinator if courses are dropped or added, or if accommodations require a change;</w:t>
      </w:r>
    </w:p>
    <w:p w14:paraId="19147FF5" w14:textId="77777777" w:rsidR="0010483B" w:rsidRPr="00EE5177" w:rsidRDefault="0010483B" w:rsidP="0010483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meeting with individual course instructors to discuss their specific accommodation needs in relation to the course; and</w:t>
      </w:r>
    </w:p>
    <w:p w14:paraId="69C58A05" w14:textId="31F413C6" w:rsidR="0010483B" w:rsidRPr="00EE5177" w:rsidRDefault="0010483B" w:rsidP="0010483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providing the instructor with their accommodation letter as early as possible.</w:t>
      </w:r>
    </w:p>
    <w:p w14:paraId="50A4C137" w14:textId="2F9D3B30" w:rsidR="0010483B" w:rsidRPr="00B16EE2" w:rsidRDefault="0010483B" w:rsidP="005C7806">
      <w:pPr>
        <w:spacing w:before="240"/>
        <w:rPr>
          <w:color w:val="000000"/>
        </w:rPr>
      </w:pPr>
      <w:r w:rsidRPr="00EE5177">
        <w:rPr>
          <w:color w:val="000000"/>
        </w:rPr>
        <w:t xml:space="preserve">For more information, visit the </w:t>
      </w:r>
      <w:hyperlink r:id="rId13" w:history="1">
        <w:r w:rsidRPr="008A0A72">
          <w:rPr>
            <w:rStyle w:val="Hyperlink"/>
          </w:rPr>
          <w:t>SAS website</w:t>
        </w:r>
      </w:hyperlink>
      <w:r w:rsidR="008A0A72" w:rsidRPr="00B16EE2">
        <w:rPr>
          <w:color w:val="000000"/>
        </w:rPr>
        <w:t xml:space="preserve"> </w:t>
      </w:r>
    </w:p>
    <w:p w14:paraId="064BEBA3" w14:textId="0CDBF35C" w:rsidR="0010483B" w:rsidRDefault="0010483B" w:rsidP="00B16EE2">
      <w:pPr>
        <w:pStyle w:val="Heading3"/>
      </w:pPr>
      <w:r w:rsidRPr="00EE5177">
        <w:t>Accommodating Peers</w:t>
      </w:r>
    </w:p>
    <w:p w14:paraId="299B81CA" w14:textId="77777777" w:rsidR="0010483B" w:rsidRPr="00EE5177" w:rsidRDefault="0010483B" w:rsidP="0010483B">
      <w:r w:rsidRPr="00EE5177">
        <w:t>Students may be asked to assist in making our learning environment accessible for all students. For example, in-class presenters may be asked to submit, in advance, a text summary of the presentation’s visual components to ensure the inclusion of students for whom those visuals would not otherwise be accessible.</w:t>
      </w:r>
    </w:p>
    <w:p w14:paraId="0934C7BD" w14:textId="0FD4512F" w:rsidR="0010483B" w:rsidRPr="00EE5177" w:rsidRDefault="0010483B" w:rsidP="00B16EE2">
      <w:pPr>
        <w:pStyle w:val="Heading2"/>
      </w:pPr>
      <w:r w:rsidRPr="00EE5177">
        <w:t xml:space="preserve">Administrative Notes </w:t>
      </w:r>
    </w:p>
    <w:p w14:paraId="3A947940" w14:textId="3947CACC" w:rsidR="0010483B" w:rsidRPr="00B16EE2" w:rsidRDefault="0010483B" w:rsidP="00B16EE2">
      <w:pPr>
        <w:pStyle w:val="Heading3"/>
        <w:rPr>
          <w:b w:val="0"/>
        </w:rPr>
      </w:pPr>
      <w:r w:rsidRPr="00EE5177">
        <w:t>Policy for Returning Assignments/Posting Grades</w:t>
      </w:r>
    </w:p>
    <w:p w14:paraId="27502FC6" w14:textId="28077E5F" w:rsidR="0010483B" w:rsidRPr="00EE5177" w:rsidRDefault="0010483B" w:rsidP="0010483B">
      <w:r w:rsidRPr="00C878BA">
        <w:t xml:space="preserve">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14:paraId="4A458D14" w14:textId="77777777" w:rsidR="0010483B" w:rsidRPr="00EE5177" w:rsidRDefault="0010483B" w:rsidP="0010483B">
      <w:pPr>
        <w:pStyle w:val="Default"/>
        <w:rPr>
          <w:rFonts w:ascii="Arial" w:hAnsi="Arial" w:cs="Arial"/>
        </w:rPr>
      </w:pPr>
      <w:r w:rsidRPr="00EE5177">
        <w:rPr>
          <w:rFonts w:ascii="Arial" w:hAnsi="Arial" w:cs="Arial"/>
        </w:rPr>
        <w:t xml:space="preserve">And since it is important for student learning and skills development that students receive feedback on their assignments as they progress through the course, you can expect to receive feedback (comments and a grade) on each of your assignments in a timely fashion.  This will allow you the opportunity to see how you performed on each assignment and time to discuss any questions you might have with your instructor. </w:t>
      </w:r>
    </w:p>
    <w:p w14:paraId="69422369" w14:textId="77777777" w:rsidR="0010483B" w:rsidRPr="00EE5177" w:rsidRDefault="0010483B" w:rsidP="0010483B">
      <w:pPr>
        <w:pStyle w:val="Default"/>
        <w:rPr>
          <w:rFonts w:ascii="Arial" w:hAnsi="Arial" w:cs="Arial"/>
        </w:rPr>
      </w:pPr>
    </w:p>
    <w:p w14:paraId="4CC13FD1" w14:textId="61C7541E" w:rsidR="0010483B" w:rsidRPr="00EE5177" w:rsidRDefault="0010483B" w:rsidP="00F442C0">
      <w:r w:rsidRPr="00EE5177">
        <w:t>The following possibilities exist for return of graded materials:</w:t>
      </w:r>
      <w:r w:rsidR="00B16EE2">
        <w:t xml:space="preserve"> </w:t>
      </w:r>
    </w:p>
    <w:p w14:paraId="2CBA0CF8" w14:textId="27AE8AC5" w:rsidR="0010483B" w:rsidRPr="00EE5177" w:rsidRDefault="0010483B" w:rsidP="008A0A72">
      <w:pPr>
        <w:pStyle w:val="ListParagraph"/>
        <w:numPr>
          <w:ilvl w:val="0"/>
          <w:numId w:val="14"/>
        </w:numPr>
      </w:pPr>
      <w:r w:rsidRPr="00EE5177">
        <w:t>direct return of materials to students in class;</w:t>
      </w:r>
    </w:p>
    <w:p w14:paraId="789049FA" w14:textId="108153F2" w:rsidR="0010483B" w:rsidRPr="00EE5177" w:rsidRDefault="0010483B" w:rsidP="008A0A72">
      <w:pPr>
        <w:pStyle w:val="ListParagraph"/>
        <w:numPr>
          <w:ilvl w:val="0"/>
          <w:numId w:val="14"/>
        </w:numPr>
      </w:pPr>
      <w:r w:rsidRPr="00EE5177">
        <w:t>return of materials to students during office hours;</w:t>
      </w:r>
    </w:p>
    <w:p w14:paraId="1DBD20A4" w14:textId="48B96101" w:rsidR="0010483B" w:rsidRPr="00EE5177" w:rsidRDefault="0010483B" w:rsidP="008A0A72">
      <w:pPr>
        <w:pStyle w:val="ListParagraph"/>
        <w:numPr>
          <w:ilvl w:val="0"/>
          <w:numId w:val="14"/>
        </w:numPr>
      </w:pPr>
      <w:r w:rsidRPr="00EE5177">
        <w:t>students attach a stamped, self-addressed envelope when submitting the assignment for return by mail (for final capstone assignment only); and</w:t>
      </w:r>
    </w:p>
    <w:p w14:paraId="5A5BB498" w14:textId="354B6B4C" w:rsidR="0010483B" w:rsidRPr="00EE5177" w:rsidRDefault="0010483B" w:rsidP="008A0A72">
      <w:pPr>
        <w:pStyle w:val="ListParagraph"/>
        <w:numPr>
          <w:ilvl w:val="0"/>
          <w:numId w:val="14"/>
        </w:numPr>
      </w:pPr>
      <w:r w:rsidRPr="00EE5177">
        <w:t>submit/grade/</w:t>
      </w:r>
      <w:r w:rsidR="00B16EE2">
        <w:t>return papers electronically.</w:t>
      </w:r>
    </w:p>
    <w:p w14:paraId="32ED6092" w14:textId="0EC218DF" w:rsidR="0010483B" w:rsidRPr="00EE5177" w:rsidRDefault="0010483B" w:rsidP="0010483B">
      <w:r w:rsidRPr="00EE5177">
        <w:t>Arrangements will be finalized for the return of assignments from the options listed above by the ins</w:t>
      </w:r>
      <w:r w:rsidR="00B16EE2">
        <w:t>tructor during the first class.</w:t>
      </w:r>
    </w:p>
    <w:p w14:paraId="579E8F57" w14:textId="77777777" w:rsidR="0010483B" w:rsidRDefault="0010483B" w:rsidP="0010483B">
      <w:pPr>
        <w:pStyle w:val="Default"/>
        <w:rPr>
          <w:rFonts w:ascii="Arial" w:hAnsi="Arial" w:cs="Arial"/>
          <w:color w:val="auto"/>
        </w:rPr>
      </w:pPr>
      <w:r w:rsidRPr="00EE5177">
        <w:rPr>
          <w:rFonts w:ascii="Arial" w:hAnsi="Arial" w:cs="Arial"/>
        </w:rPr>
        <w:t>Grades for assignments may only be posted using the last 5 digits of the student number as the identifying data. </w:t>
      </w:r>
      <w:r w:rsidRPr="00EE5177">
        <w:rPr>
          <w:rFonts w:ascii="Arial" w:hAnsi="Arial" w:cs="Arial"/>
          <w:color w:val="auto"/>
        </w:rPr>
        <w:t xml:space="preserve">Final grades for the course will be posted on </w:t>
      </w:r>
      <w:r>
        <w:rPr>
          <w:rFonts w:ascii="Arial" w:hAnsi="Arial" w:cs="Arial"/>
          <w:color w:val="auto"/>
        </w:rPr>
        <w:t>MOSAIC</w:t>
      </w:r>
      <w:r w:rsidRPr="00EE5177">
        <w:rPr>
          <w:rFonts w:ascii="Arial" w:hAnsi="Arial" w:cs="Arial"/>
          <w:color w:val="auto"/>
        </w:rPr>
        <w:t>.</w:t>
      </w:r>
    </w:p>
    <w:p w14:paraId="78EDCF53" w14:textId="77777777" w:rsidR="0010483B" w:rsidRDefault="0010483B" w:rsidP="0010483B">
      <w:pPr>
        <w:pStyle w:val="Default"/>
        <w:rPr>
          <w:rFonts w:ascii="Arial" w:hAnsi="Arial" w:cs="Arial"/>
          <w:color w:val="auto"/>
        </w:rPr>
      </w:pPr>
    </w:p>
    <w:p w14:paraId="3B9EBD9B" w14:textId="29C5FDE5" w:rsidR="0010483B" w:rsidRDefault="0010483B" w:rsidP="0010483B">
      <w:pPr>
        <w:pStyle w:val="Heading2"/>
      </w:pPr>
      <w:r>
        <w:t>Course Details</w:t>
      </w:r>
    </w:p>
    <w:p w14:paraId="54712213" w14:textId="77777777" w:rsidR="0010483B" w:rsidRDefault="0010483B" w:rsidP="0010483B">
      <w:r>
        <w:t>This online course uses several companion documents to complement and supplement this course syllabus. Please consult the documents in the ‘About this Course’ section for details on assigned readings, a schedule of assignments, and other details.</w:t>
      </w:r>
    </w:p>
    <w:p w14:paraId="74CC4B7A" w14:textId="77777777" w:rsidR="0010483B" w:rsidRDefault="0010483B" w:rsidP="0010483B">
      <w:pPr>
        <w:pStyle w:val="Heading2"/>
      </w:pPr>
      <w:r>
        <w:t>Assignments</w:t>
      </w:r>
    </w:p>
    <w:p w14:paraId="16BD53D0" w14:textId="77777777" w:rsidR="0010483B" w:rsidRDefault="0010483B" w:rsidP="0010483B">
      <w:r>
        <w:t>The assignment breakdown for the course will be as follows:</w:t>
      </w:r>
    </w:p>
    <w:p w14:paraId="6BD41980" w14:textId="01A13ECF" w:rsidR="00785250" w:rsidRPr="00EE5177" w:rsidRDefault="00785250" w:rsidP="0078525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 xml:space="preserve">Dropbox Assignment: </w:t>
      </w:r>
      <w:r>
        <w:t xml:space="preserve">Exploration Report </w:t>
      </w:r>
      <w:r w:rsidRPr="00EE5177">
        <w:t>(</w:t>
      </w:r>
      <w:r>
        <w:t>5</w:t>
      </w:r>
      <w:r w:rsidRPr="00EE5177">
        <w:t xml:space="preserve">%) </w:t>
      </w:r>
    </w:p>
    <w:p w14:paraId="42E33E3C" w14:textId="77777777" w:rsidR="00785250" w:rsidRPr="00EE5177" w:rsidRDefault="00785250" w:rsidP="0078525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Dropbox Assignment: Research Question and Brainstorming Report (10%)</w:t>
      </w:r>
    </w:p>
    <w:p w14:paraId="22D74BA8" w14:textId="77777777" w:rsidR="00785250" w:rsidRPr="00EE5177" w:rsidRDefault="00785250" w:rsidP="0078525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Dropbox Assignment: Proposal and Annotated Bibliography (20%)</w:t>
      </w:r>
    </w:p>
    <w:p w14:paraId="387E26ED" w14:textId="77777777" w:rsidR="00785250" w:rsidRPr="00EE5177" w:rsidRDefault="00785250" w:rsidP="0078525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 xml:space="preserve">Dropbox Assignment: Presentation Storyboard (15%) </w:t>
      </w:r>
    </w:p>
    <w:p w14:paraId="5AA82318" w14:textId="78EC546A" w:rsidR="00785250" w:rsidRDefault="00785250" w:rsidP="0078525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 xml:space="preserve">Dropbox Assignment: </w:t>
      </w:r>
      <w:r w:rsidR="000644D4">
        <w:t>Citation</w:t>
      </w:r>
      <w:r>
        <w:t xml:space="preserve"> </w:t>
      </w:r>
      <w:bookmarkStart w:id="1" w:name="_GoBack"/>
      <w:bookmarkEnd w:id="1"/>
      <w:r>
        <w:t>Chain</w:t>
      </w:r>
      <w:r w:rsidRPr="00EE5177">
        <w:t xml:space="preserve"> </w:t>
      </w:r>
      <w:r>
        <w:t xml:space="preserve">Assignment </w:t>
      </w:r>
      <w:r w:rsidRPr="00EE5177">
        <w:t>(</w:t>
      </w:r>
      <w:r>
        <w:t>10</w:t>
      </w:r>
      <w:r w:rsidRPr="00EE5177">
        <w:t xml:space="preserve">%) </w:t>
      </w:r>
    </w:p>
    <w:p w14:paraId="7F57371E" w14:textId="77777777" w:rsidR="00785250" w:rsidRDefault="00785250" w:rsidP="0078525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 xml:space="preserve">Major Dropbox Assignment: Research Paper (25%) </w:t>
      </w:r>
    </w:p>
    <w:p w14:paraId="4FEA6D36" w14:textId="77777777" w:rsidR="00785250" w:rsidRDefault="00785250" w:rsidP="0078525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 w:rsidRPr="00EE5177">
        <w:t xml:space="preserve">Participation </w:t>
      </w:r>
      <w:r>
        <w:t xml:space="preserve">via Digital Engagement </w:t>
      </w:r>
      <w:r w:rsidRPr="00EE5177">
        <w:t>(</w:t>
      </w:r>
      <w:r>
        <w:t>15</w:t>
      </w:r>
      <w:r w:rsidRPr="00EE5177">
        <w:t xml:space="preserve">%) </w:t>
      </w:r>
    </w:p>
    <w:p w14:paraId="4C46DF9D" w14:textId="7ECF605A" w:rsidR="0010483B" w:rsidRDefault="0010483B" w:rsidP="00B16EE2">
      <w:pPr>
        <w:spacing w:before="240"/>
      </w:pPr>
      <w:r>
        <w:t>Full details are available on Avenue to Learn</w:t>
      </w:r>
      <w:r w:rsidR="00C02BB1">
        <w:t xml:space="preserve"> in the </w:t>
      </w:r>
      <w:r w:rsidR="00C02BB1">
        <w:rPr>
          <w:i/>
        </w:rPr>
        <w:t xml:space="preserve">Evaluations </w:t>
      </w:r>
      <w:r w:rsidR="00C02BB1">
        <w:t>module</w:t>
      </w:r>
      <w:r>
        <w:t>.</w:t>
      </w:r>
    </w:p>
    <w:p w14:paraId="74522107" w14:textId="77777777" w:rsidR="0010483B" w:rsidRDefault="0010483B" w:rsidP="0010483B">
      <w:pPr>
        <w:pStyle w:val="Heading2"/>
      </w:pPr>
      <w:r>
        <w:t>Course Modification Statement</w:t>
      </w:r>
    </w:p>
    <w:p w14:paraId="19AE441A" w14:textId="77777777" w:rsidR="0010483B" w:rsidRPr="00EE5177" w:rsidRDefault="0010483B" w:rsidP="0010483B">
      <w:pPr>
        <w:pStyle w:val="Default"/>
        <w:rPr>
          <w:rFonts w:ascii="Arial" w:hAnsi="Arial" w:cs="Arial"/>
          <w:color w:val="auto"/>
        </w:rPr>
      </w:pPr>
      <w:r w:rsidRPr="00EE5177">
        <w:rPr>
          <w:rFonts w:ascii="Arial" w:hAnsi="Arial" w:cs="Arial"/>
          <w:color w:val="auto"/>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Pr>
          <w:rFonts w:ascii="Arial" w:hAnsi="Arial" w:cs="Arial"/>
          <w:color w:val="auto"/>
        </w:rPr>
        <w:t>.</w:t>
      </w:r>
    </w:p>
    <w:p w14:paraId="4D776A84" w14:textId="77777777" w:rsidR="0010483B" w:rsidRPr="00EE5177" w:rsidRDefault="0010483B" w:rsidP="0010483B"/>
    <w:p w14:paraId="5784D2CE" w14:textId="0B32F4DF" w:rsidR="00BC27F9" w:rsidRPr="0010483B" w:rsidRDefault="00BC27F9" w:rsidP="0010483B"/>
    <w:sectPr w:rsidR="00BC27F9" w:rsidRPr="0010483B" w:rsidSect="00CB7850">
      <w:footerReference w:type="default" r:id="rId14"/>
      <w:pgSz w:w="12240" w:h="15840"/>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43DF5" w14:textId="77777777" w:rsidR="00B97150" w:rsidRDefault="00B97150" w:rsidP="005C7806">
      <w:pPr>
        <w:spacing w:after="0" w:line="240" w:lineRule="auto"/>
      </w:pPr>
      <w:r>
        <w:separator/>
      </w:r>
    </w:p>
  </w:endnote>
  <w:endnote w:type="continuationSeparator" w:id="0">
    <w:p w14:paraId="36C56B3C" w14:textId="77777777" w:rsidR="00B97150" w:rsidRDefault="00B97150" w:rsidP="005C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022950"/>
      <w:docPartObj>
        <w:docPartGallery w:val="Page Numbers (Bottom of Page)"/>
        <w:docPartUnique/>
      </w:docPartObj>
    </w:sdtPr>
    <w:sdtEndPr>
      <w:rPr>
        <w:noProof/>
      </w:rPr>
    </w:sdtEndPr>
    <w:sdtContent>
      <w:p w14:paraId="1841A1FF" w14:textId="3AFBCD68" w:rsidR="005C7806" w:rsidRDefault="005C7806">
        <w:pPr>
          <w:pStyle w:val="Footer"/>
          <w:jc w:val="right"/>
        </w:pPr>
        <w:r>
          <w:fldChar w:fldCharType="begin"/>
        </w:r>
        <w:r>
          <w:instrText xml:space="preserve"> PAGE   \* MERGEFORMAT </w:instrText>
        </w:r>
        <w:r>
          <w:fldChar w:fldCharType="separate"/>
        </w:r>
        <w:r w:rsidR="00F570CB">
          <w:rPr>
            <w:noProof/>
          </w:rPr>
          <w:t>7</w:t>
        </w:r>
        <w:r>
          <w:rPr>
            <w:noProof/>
          </w:rPr>
          <w:fldChar w:fldCharType="end"/>
        </w:r>
      </w:p>
    </w:sdtContent>
  </w:sdt>
  <w:p w14:paraId="630390FB" w14:textId="77777777" w:rsidR="002C3A47" w:rsidRDefault="00B97150" w:rsidP="00EE5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1DD85" w14:textId="77777777" w:rsidR="00B97150" w:rsidRDefault="00B97150" w:rsidP="005C7806">
      <w:pPr>
        <w:spacing w:after="0" w:line="240" w:lineRule="auto"/>
      </w:pPr>
      <w:r>
        <w:separator/>
      </w:r>
    </w:p>
  </w:footnote>
  <w:footnote w:type="continuationSeparator" w:id="0">
    <w:p w14:paraId="235D3530" w14:textId="77777777" w:rsidR="00B97150" w:rsidRDefault="00B97150" w:rsidP="005C7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60" style="width:0;height:0" o:hralign="center" o:bullet="t" o:hrstd="t" o:hrnoshade="t" o:hr="t" fillcolor="#222" stroked="f"/>
    </w:pict>
  </w:numPicBullet>
  <w:numPicBullet w:numPicBulletId="1">
    <w:pict>
      <v:rect id="_x0000_i1061" style="width:0;height:0" o:hralign="center" o:bullet="t" o:hrstd="t" o:hrnoshade="t" o:hr="t" fillcolor="#222" stroked="f"/>
    </w:pict>
  </w:numPicBullet>
  <w:abstractNum w:abstractNumId="0" w15:restartNumberingAfterBreak="0">
    <w:nsid w:val="1006612E"/>
    <w:multiLevelType w:val="hybridMultilevel"/>
    <w:tmpl w:val="E5E62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CD3AAD"/>
    <w:multiLevelType w:val="hybridMultilevel"/>
    <w:tmpl w:val="9DF8B8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8B53C0"/>
    <w:multiLevelType w:val="hybridMultilevel"/>
    <w:tmpl w:val="E3D4EFCA"/>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BE30E9"/>
    <w:multiLevelType w:val="hybridMultilevel"/>
    <w:tmpl w:val="2C96C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10715F"/>
    <w:multiLevelType w:val="hybridMultilevel"/>
    <w:tmpl w:val="266C6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E13CD7"/>
    <w:multiLevelType w:val="hybridMultilevel"/>
    <w:tmpl w:val="64963E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1333C5"/>
    <w:multiLevelType w:val="hybridMultilevel"/>
    <w:tmpl w:val="9E5A65D0"/>
    <w:lvl w:ilvl="0" w:tplc="7A48AC04">
      <w:start w:val="1"/>
      <w:numFmt w:val="bullet"/>
      <w:lvlText w:val=""/>
      <w:lvlPicBulletId w:val="0"/>
      <w:lvlJc w:val="left"/>
      <w:pPr>
        <w:tabs>
          <w:tab w:val="num" w:pos="720"/>
        </w:tabs>
        <w:ind w:left="720" w:hanging="360"/>
      </w:pPr>
      <w:rPr>
        <w:rFonts w:ascii="Symbol" w:hAnsi="Symbol" w:hint="default"/>
      </w:rPr>
    </w:lvl>
    <w:lvl w:ilvl="1" w:tplc="9F6209E4" w:tentative="1">
      <w:start w:val="1"/>
      <w:numFmt w:val="bullet"/>
      <w:lvlText w:val=""/>
      <w:lvlJc w:val="left"/>
      <w:pPr>
        <w:tabs>
          <w:tab w:val="num" w:pos="1440"/>
        </w:tabs>
        <w:ind w:left="1440" w:hanging="360"/>
      </w:pPr>
      <w:rPr>
        <w:rFonts w:ascii="Symbol" w:hAnsi="Symbol" w:hint="default"/>
      </w:rPr>
    </w:lvl>
    <w:lvl w:ilvl="2" w:tplc="D5A0FD3E" w:tentative="1">
      <w:start w:val="1"/>
      <w:numFmt w:val="bullet"/>
      <w:lvlText w:val=""/>
      <w:lvlJc w:val="left"/>
      <w:pPr>
        <w:tabs>
          <w:tab w:val="num" w:pos="2160"/>
        </w:tabs>
        <w:ind w:left="2160" w:hanging="360"/>
      </w:pPr>
      <w:rPr>
        <w:rFonts w:ascii="Symbol" w:hAnsi="Symbol" w:hint="default"/>
      </w:rPr>
    </w:lvl>
    <w:lvl w:ilvl="3" w:tplc="F80A57AE" w:tentative="1">
      <w:start w:val="1"/>
      <w:numFmt w:val="bullet"/>
      <w:lvlText w:val=""/>
      <w:lvlJc w:val="left"/>
      <w:pPr>
        <w:tabs>
          <w:tab w:val="num" w:pos="2880"/>
        </w:tabs>
        <w:ind w:left="2880" w:hanging="360"/>
      </w:pPr>
      <w:rPr>
        <w:rFonts w:ascii="Symbol" w:hAnsi="Symbol" w:hint="default"/>
      </w:rPr>
    </w:lvl>
    <w:lvl w:ilvl="4" w:tplc="24DC561C" w:tentative="1">
      <w:start w:val="1"/>
      <w:numFmt w:val="bullet"/>
      <w:lvlText w:val=""/>
      <w:lvlJc w:val="left"/>
      <w:pPr>
        <w:tabs>
          <w:tab w:val="num" w:pos="3600"/>
        </w:tabs>
        <w:ind w:left="3600" w:hanging="360"/>
      </w:pPr>
      <w:rPr>
        <w:rFonts w:ascii="Symbol" w:hAnsi="Symbol" w:hint="default"/>
      </w:rPr>
    </w:lvl>
    <w:lvl w:ilvl="5" w:tplc="CBAE70D4" w:tentative="1">
      <w:start w:val="1"/>
      <w:numFmt w:val="bullet"/>
      <w:lvlText w:val=""/>
      <w:lvlJc w:val="left"/>
      <w:pPr>
        <w:tabs>
          <w:tab w:val="num" w:pos="4320"/>
        </w:tabs>
        <w:ind w:left="4320" w:hanging="360"/>
      </w:pPr>
      <w:rPr>
        <w:rFonts w:ascii="Symbol" w:hAnsi="Symbol" w:hint="default"/>
      </w:rPr>
    </w:lvl>
    <w:lvl w:ilvl="6" w:tplc="CD56FA1C" w:tentative="1">
      <w:start w:val="1"/>
      <w:numFmt w:val="bullet"/>
      <w:lvlText w:val=""/>
      <w:lvlJc w:val="left"/>
      <w:pPr>
        <w:tabs>
          <w:tab w:val="num" w:pos="5040"/>
        </w:tabs>
        <w:ind w:left="5040" w:hanging="360"/>
      </w:pPr>
      <w:rPr>
        <w:rFonts w:ascii="Symbol" w:hAnsi="Symbol" w:hint="default"/>
      </w:rPr>
    </w:lvl>
    <w:lvl w:ilvl="7" w:tplc="A7224F50" w:tentative="1">
      <w:start w:val="1"/>
      <w:numFmt w:val="bullet"/>
      <w:lvlText w:val=""/>
      <w:lvlJc w:val="left"/>
      <w:pPr>
        <w:tabs>
          <w:tab w:val="num" w:pos="5760"/>
        </w:tabs>
        <w:ind w:left="5760" w:hanging="360"/>
      </w:pPr>
      <w:rPr>
        <w:rFonts w:ascii="Symbol" w:hAnsi="Symbol" w:hint="default"/>
      </w:rPr>
    </w:lvl>
    <w:lvl w:ilvl="8" w:tplc="05D888F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8C84675"/>
    <w:multiLevelType w:val="hybridMultilevel"/>
    <w:tmpl w:val="7E8EA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D92F9D"/>
    <w:multiLevelType w:val="hybridMultilevel"/>
    <w:tmpl w:val="A4FCE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682BCB"/>
    <w:multiLevelType w:val="hybridMultilevel"/>
    <w:tmpl w:val="AB24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F28C1"/>
    <w:multiLevelType w:val="hybridMultilevel"/>
    <w:tmpl w:val="5BFE81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32E2053"/>
    <w:multiLevelType w:val="hybridMultilevel"/>
    <w:tmpl w:val="B67E7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DA06466"/>
    <w:multiLevelType w:val="hybridMultilevel"/>
    <w:tmpl w:val="DE003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61955"/>
    <w:multiLevelType w:val="hybridMultilevel"/>
    <w:tmpl w:val="38709298"/>
    <w:lvl w:ilvl="0" w:tplc="10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BFC3AED"/>
    <w:multiLevelType w:val="hybridMultilevel"/>
    <w:tmpl w:val="1D083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
  </w:num>
  <w:num w:numId="3">
    <w:abstractNumId w:val="6"/>
  </w:num>
  <w:num w:numId="4">
    <w:abstractNumId w:val="11"/>
  </w:num>
  <w:num w:numId="5">
    <w:abstractNumId w:val="7"/>
  </w:num>
  <w:num w:numId="6">
    <w:abstractNumId w:val="14"/>
  </w:num>
  <w:num w:numId="7">
    <w:abstractNumId w:val="13"/>
  </w:num>
  <w:num w:numId="8">
    <w:abstractNumId w:val="3"/>
  </w:num>
  <w:num w:numId="9">
    <w:abstractNumId w:val="0"/>
  </w:num>
  <w:num w:numId="10">
    <w:abstractNumId w:val="9"/>
  </w:num>
  <w:num w:numId="11">
    <w:abstractNumId w:val="4"/>
  </w:num>
  <w:num w:numId="12">
    <w:abstractNumId w:val="8"/>
  </w:num>
  <w:num w:numId="13">
    <w:abstractNumId w:val="1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W0MLa0tDQxMbQwMjVV0lEKTi0uzszPAykwrgUA30Je9CwAAAA="/>
  </w:docVars>
  <w:rsids>
    <w:rsidRoot w:val="00DD117A"/>
    <w:rsid w:val="000038A2"/>
    <w:rsid w:val="00030319"/>
    <w:rsid w:val="00047976"/>
    <w:rsid w:val="000644D4"/>
    <w:rsid w:val="000B7DC0"/>
    <w:rsid w:val="0010483B"/>
    <w:rsid w:val="00130118"/>
    <w:rsid w:val="00194FAE"/>
    <w:rsid w:val="001A4347"/>
    <w:rsid w:val="001F1FF6"/>
    <w:rsid w:val="00236437"/>
    <w:rsid w:val="00253CA3"/>
    <w:rsid w:val="00255F2B"/>
    <w:rsid w:val="003A46CB"/>
    <w:rsid w:val="003B1C9C"/>
    <w:rsid w:val="003C2555"/>
    <w:rsid w:val="004E676A"/>
    <w:rsid w:val="005225A8"/>
    <w:rsid w:val="00533B79"/>
    <w:rsid w:val="00572AA2"/>
    <w:rsid w:val="0059150F"/>
    <w:rsid w:val="005C7806"/>
    <w:rsid w:val="006726A1"/>
    <w:rsid w:val="00725E19"/>
    <w:rsid w:val="00766D5D"/>
    <w:rsid w:val="00785250"/>
    <w:rsid w:val="007E40CD"/>
    <w:rsid w:val="008645B5"/>
    <w:rsid w:val="008942C2"/>
    <w:rsid w:val="008A0A72"/>
    <w:rsid w:val="00917E2B"/>
    <w:rsid w:val="009326EF"/>
    <w:rsid w:val="00B16EE2"/>
    <w:rsid w:val="00B42C37"/>
    <w:rsid w:val="00B718CA"/>
    <w:rsid w:val="00B97150"/>
    <w:rsid w:val="00BC27F9"/>
    <w:rsid w:val="00C02BB1"/>
    <w:rsid w:val="00C217F6"/>
    <w:rsid w:val="00D04CF3"/>
    <w:rsid w:val="00D12A39"/>
    <w:rsid w:val="00D447C6"/>
    <w:rsid w:val="00DB1D09"/>
    <w:rsid w:val="00DD117A"/>
    <w:rsid w:val="00DE25BF"/>
    <w:rsid w:val="00E07FBD"/>
    <w:rsid w:val="00E50FF0"/>
    <w:rsid w:val="00E62801"/>
    <w:rsid w:val="00EA4AD5"/>
    <w:rsid w:val="00F442C0"/>
    <w:rsid w:val="00F570CB"/>
    <w:rsid w:val="00FD1A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D6F8"/>
  <w15:chartTrackingRefBased/>
  <w15:docId w15:val="{07EB716B-4FAE-434D-B0C7-AC9072A5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18"/>
    <w:rPr>
      <w:rFonts w:ascii="Arial" w:hAnsi="Arial"/>
      <w:sz w:val="24"/>
    </w:rPr>
  </w:style>
  <w:style w:type="paragraph" w:styleId="Heading1">
    <w:name w:val="heading 1"/>
    <w:basedOn w:val="Normal"/>
    <w:next w:val="Normal"/>
    <w:link w:val="Heading1Char"/>
    <w:uiPriority w:val="9"/>
    <w:qFormat/>
    <w:rsid w:val="0059150F"/>
    <w:pPr>
      <w:keepNext/>
      <w:keepLines/>
      <w:spacing w:before="240" w:after="0" w:line="240" w:lineRule="auto"/>
      <w:jc w:val="center"/>
      <w:outlineLvl w:val="0"/>
    </w:pPr>
    <w:rPr>
      <w:rFonts w:eastAsiaTheme="majorEastAsia" w:cstheme="majorBidi"/>
      <w:color w:val="7A003C"/>
      <w:sz w:val="44"/>
      <w:szCs w:val="32"/>
    </w:rPr>
  </w:style>
  <w:style w:type="paragraph" w:styleId="Heading2">
    <w:name w:val="heading 2"/>
    <w:basedOn w:val="Normal"/>
    <w:next w:val="Normal"/>
    <w:link w:val="Heading2Char"/>
    <w:uiPriority w:val="9"/>
    <w:unhideWhenUsed/>
    <w:qFormat/>
    <w:rsid w:val="0059150F"/>
    <w:pPr>
      <w:keepNext/>
      <w:keepLines/>
      <w:spacing w:before="40" w:after="0"/>
      <w:outlineLvl w:val="1"/>
    </w:pPr>
    <w:rPr>
      <w:rFonts w:eastAsiaTheme="majorEastAsia" w:cstheme="majorBidi"/>
      <w:color w:val="7A003C"/>
      <w:sz w:val="36"/>
      <w:szCs w:val="26"/>
    </w:rPr>
  </w:style>
  <w:style w:type="paragraph" w:styleId="Heading3">
    <w:name w:val="heading 3"/>
    <w:basedOn w:val="Normal"/>
    <w:next w:val="Normal"/>
    <w:link w:val="Heading3Char"/>
    <w:uiPriority w:val="9"/>
    <w:unhideWhenUsed/>
    <w:qFormat/>
    <w:rsid w:val="008A0A72"/>
    <w:pPr>
      <w:keepNext/>
      <w:keepLines/>
      <w:spacing w:before="40" w:after="0"/>
      <w:outlineLvl w:val="2"/>
    </w:pPr>
    <w:rPr>
      <w:rFonts w:asciiTheme="majorHAnsi" w:eastAsiaTheme="majorEastAsia" w:hAnsiTheme="majorHAnsi"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8A0A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0F"/>
    <w:rPr>
      <w:rFonts w:ascii="Arial" w:eastAsiaTheme="majorEastAsia" w:hAnsi="Arial" w:cstheme="majorBidi"/>
      <w:color w:val="7A003C"/>
      <w:sz w:val="44"/>
      <w:szCs w:val="32"/>
    </w:rPr>
  </w:style>
  <w:style w:type="character" w:customStyle="1" w:styleId="Heading2Char">
    <w:name w:val="Heading 2 Char"/>
    <w:basedOn w:val="DefaultParagraphFont"/>
    <w:link w:val="Heading2"/>
    <w:uiPriority w:val="9"/>
    <w:rsid w:val="0059150F"/>
    <w:rPr>
      <w:rFonts w:ascii="Arial" w:eastAsiaTheme="majorEastAsia" w:hAnsi="Arial" w:cstheme="majorBidi"/>
      <w:color w:val="7A003C"/>
      <w:sz w:val="36"/>
      <w:szCs w:val="26"/>
    </w:rPr>
  </w:style>
  <w:style w:type="paragraph" w:styleId="ListParagraph">
    <w:name w:val="List Paragraph"/>
    <w:basedOn w:val="Normal"/>
    <w:uiPriority w:val="34"/>
    <w:qFormat/>
    <w:rsid w:val="0059150F"/>
    <w:pPr>
      <w:ind w:left="720"/>
      <w:contextualSpacing/>
    </w:pPr>
  </w:style>
  <w:style w:type="character" w:styleId="Hyperlink">
    <w:name w:val="Hyperlink"/>
    <w:basedOn w:val="DefaultParagraphFont"/>
    <w:uiPriority w:val="99"/>
    <w:unhideWhenUsed/>
    <w:rsid w:val="0059150F"/>
    <w:rPr>
      <w:color w:val="0563C1" w:themeColor="hyperlink"/>
      <w:u w:val="single"/>
    </w:rPr>
  </w:style>
  <w:style w:type="character" w:styleId="CommentReference">
    <w:name w:val="annotation reference"/>
    <w:basedOn w:val="DefaultParagraphFont"/>
    <w:uiPriority w:val="99"/>
    <w:semiHidden/>
    <w:unhideWhenUsed/>
    <w:rsid w:val="008645B5"/>
    <w:rPr>
      <w:sz w:val="16"/>
      <w:szCs w:val="16"/>
    </w:rPr>
  </w:style>
  <w:style w:type="paragraph" w:styleId="CommentText">
    <w:name w:val="annotation text"/>
    <w:basedOn w:val="Normal"/>
    <w:link w:val="CommentTextChar"/>
    <w:uiPriority w:val="99"/>
    <w:semiHidden/>
    <w:unhideWhenUsed/>
    <w:rsid w:val="008645B5"/>
    <w:pPr>
      <w:spacing w:line="240" w:lineRule="auto"/>
    </w:pPr>
    <w:rPr>
      <w:sz w:val="20"/>
      <w:szCs w:val="20"/>
    </w:rPr>
  </w:style>
  <w:style w:type="character" w:customStyle="1" w:styleId="CommentTextChar">
    <w:name w:val="Comment Text Char"/>
    <w:basedOn w:val="DefaultParagraphFont"/>
    <w:link w:val="CommentText"/>
    <w:uiPriority w:val="99"/>
    <w:semiHidden/>
    <w:rsid w:val="008645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45B5"/>
    <w:rPr>
      <w:b/>
      <w:bCs/>
    </w:rPr>
  </w:style>
  <w:style w:type="character" w:customStyle="1" w:styleId="CommentSubjectChar">
    <w:name w:val="Comment Subject Char"/>
    <w:basedOn w:val="CommentTextChar"/>
    <w:link w:val="CommentSubject"/>
    <w:uiPriority w:val="99"/>
    <w:semiHidden/>
    <w:rsid w:val="008645B5"/>
    <w:rPr>
      <w:rFonts w:ascii="Arial" w:hAnsi="Arial"/>
      <w:b/>
      <w:bCs/>
      <w:sz w:val="20"/>
      <w:szCs w:val="20"/>
    </w:rPr>
  </w:style>
  <w:style w:type="paragraph" w:styleId="BalloonText">
    <w:name w:val="Balloon Text"/>
    <w:basedOn w:val="Normal"/>
    <w:link w:val="BalloonTextChar"/>
    <w:uiPriority w:val="99"/>
    <w:semiHidden/>
    <w:unhideWhenUsed/>
    <w:rsid w:val="00864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B5"/>
    <w:rPr>
      <w:rFonts w:ascii="Segoe UI" w:hAnsi="Segoe UI" w:cs="Segoe UI"/>
      <w:sz w:val="18"/>
      <w:szCs w:val="18"/>
    </w:rPr>
  </w:style>
  <w:style w:type="character" w:customStyle="1" w:styleId="Heading3Char">
    <w:name w:val="Heading 3 Char"/>
    <w:basedOn w:val="DefaultParagraphFont"/>
    <w:link w:val="Heading3"/>
    <w:uiPriority w:val="9"/>
    <w:rsid w:val="008A0A72"/>
    <w:rPr>
      <w:rFonts w:asciiTheme="majorHAnsi" w:eastAsiaTheme="majorEastAsia" w:hAnsiTheme="majorHAnsi" w:cstheme="majorBidi"/>
      <w:b/>
      <w:color w:val="1F4D78" w:themeColor="accent1" w:themeShade="7F"/>
      <w:sz w:val="28"/>
      <w:szCs w:val="24"/>
    </w:rPr>
  </w:style>
  <w:style w:type="character" w:styleId="Strong">
    <w:name w:val="Strong"/>
    <w:uiPriority w:val="22"/>
    <w:qFormat/>
    <w:rsid w:val="0010483B"/>
    <w:rPr>
      <w:rFonts w:ascii="Arial" w:hAnsi="Arial" w:cs="Arial" w:hint="default"/>
      <w:b/>
      <w:bCs/>
      <w:color w:val="000000"/>
      <w:sz w:val="24"/>
      <w:szCs w:val="24"/>
    </w:rPr>
  </w:style>
  <w:style w:type="paragraph" w:customStyle="1" w:styleId="Default">
    <w:name w:val="Default"/>
    <w:rsid w:val="001048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unhideWhenUsed/>
    <w:rsid w:val="0010483B"/>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pPr>
    <w:rPr>
      <w:rFonts w:eastAsia="Times New Roman" w:cs="Arial"/>
      <w:szCs w:val="24"/>
      <w:lang w:val="x-none" w:eastAsia="x-none"/>
    </w:rPr>
  </w:style>
  <w:style w:type="character" w:customStyle="1" w:styleId="FooterChar">
    <w:name w:val="Footer Char"/>
    <w:basedOn w:val="DefaultParagraphFont"/>
    <w:link w:val="Footer"/>
    <w:uiPriority w:val="99"/>
    <w:rsid w:val="0010483B"/>
    <w:rPr>
      <w:rFonts w:ascii="Arial" w:eastAsia="Times New Roman" w:hAnsi="Arial" w:cs="Arial"/>
      <w:sz w:val="24"/>
      <w:szCs w:val="24"/>
      <w:lang w:val="x-none" w:eastAsia="x-none"/>
    </w:rPr>
  </w:style>
  <w:style w:type="paragraph" w:styleId="Header">
    <w:name w:val="header"/>
    <w:basedOn w:val="Normal"/>
    <w:link w:val="HeaderChar"/>
    <w:uiPriority w:val="99"/>
    <w:unhideWhenUsed/>
    <w:rsid w:val="005C7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806"/>
    <w:rPr>
      <w:rFonts w:ascii="Arial" w:hAnsi="Arial"/>
    </w:rPr>
  </w:style>
  <w:style w:type="character" w:customStyle="1" w:styleId="Heading4Char">
    <w:name w:val="Heading 4 Char"/>
    <w:basedOn w:val="DefaultParagraphFont"/>
    <w:link w:val="Heading4"/>
    <w:uiPriority w:val="9"/>
    <w:rsid w:val="008A0A72"/>
    <w:rPr>
      <w:rFonts w:asciiTheme="majorHAnsi" w:eastAsiaTheme="majorEastAsia" w:hAnsiTheme="majorHAnsi" w:cstheme="majorBidi"/>
      <w:i/>
      <w:iCs/>
      <w:color w:val="2E74B5" w:themeColor="accent1" w:themeShade="BF"/>
      <w:sz w:val="24"/>
    </w:rPr>
  </w:style>
  <w:style w:type="character" w:styleId="UnresolvedMention">
    <w:name w:val="Unresolved Mention"/>
    <w:basedOn w:val="DefaultParagraphFont"/>
    <w:uiPriority w:val="99"/>
    <w:semiHidden/>
    <w:unhideWhenUsed/>
    <w:rsid w:val="00E07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820481">
      <w:bodyDiv w:val="1"/>
      <w:marLeft w:val="0"/>
      <w:marRight w:val="0"/>
      <w:marTop w:val="0"/>
      <w:marBottom w:val="0"/>
      <w:divBdr>
        <w:top w:val="none" w:sz="0" w:space="0" w:color="auto"/>
        <w:left w:val="none" w:sz="0" w:space="0" w:color="auto"/>
        <w:bottom w:val="none" w:sz="0" w:space="0" w:color="auto"/>
        <w:right w:val="none" w:sz="0" w:space="0" w:color="auto"/>
      </w:divBdr>
      <w:divsChild>
        <w:div w:id="1842814189">
          <w:marLeft w:val="-225"/>
          <w:marRight w:val="-225"/>
          <w:marTop w:val="0"/>
          <w:marBottom w:val="300"/>
          <w:divBdr>
            <w:top w:val="none" w:sz="0" w:space="0" w:color="auto"/>
            <w:left w:val="none" w:sz="0" w:space="0" w:color="auto"/>
            <w:bottom w:val="none" w:sz="0" w:space="0" w:color="auto"/>
            <w:right w:val="none" w:sz="0" w:space="0" w:color="auto"/>
          </w:divBdr>
          <w:divsChild>
            <w:div w:id="1165515755">
              <w:marLeft w:val="0"/>
              <w:marRight w:val="0"/>
              <w:marTop w:val="0"/>
              <w:marBottom w:val="0"/>
              <w:divBdr>
                <w:top w:val="none" w:sz="0" w:space="0" w:color="auto"/>
                <w:left w:val="none" w:sz="0" w:space="0" w:color="auto"/>
                <w:bottom w:val="none" w:sz="0" w:space="0" w:color="auto"/>
                <w:right w:val="none" w:sz="0" w:space="0" w:color="auto"/>
              </w:divBdr>
            </w:div>
            <w:div w:id="1880360479">
              <w:marLeft w:val="0"/>
              <w:marRight w:val="0"/>
              <w:marTop w:val="0"/>
              <w:marBottom w:val="0"/>
              <w:divBdr>
                <w:top w:val="none" w:sz="0" w:space="0" w:color="auto"/>
                <w:left w:val="none" w:sz="0" w:space="0" w:color="auto"/>
                <w:bottom w:val="none" w:sz="0" w:space="0" w:color="auto"/>
                <w:right w:val="none" w:sz="0" w:space="0" w:color="auto"/>
              </w:divBdr>
            </w:div>
          </w:divsChild>
        </w:div>
        <w:div w:id="540870514">
          <w:marLeft w:val="-225"/>
          <w:marRight w:val="-225"/>
          <w:marTop w:val="0"/>
          <w:marBottom w:val="300"/>
          <w:divBdr>
            <w:top w:val="none" w:sz="0" w:space="0" w:color="auto"/>
            <w:left w:val="none" w:sz="0" w:space="0" w:color="auto"/>
            <w:bottom w:val="none" w:sz="0" w:space="0" w:color="auto"/>
            <w:right w:val="none" w:sz="0" w:space="0" w:color="auto"/>
          </w:divBdr>
          <w:divsChild>
            <w:div w:id="1108966937">
              <w:marLeft w:val="0"/>
              <w:marRight w:val="0"/>
              <w:marTop w:val="0"/>
              <w:marBottom w:val="0"/>
              <w:divBdr>
                <w:top w:val="none" w:sz="0" w:space="0" w:color="auto"/>
                <w:left w:val="none" w:sz="0" w:space="0" w:color="auto"/>
                <w:bottom w:val="none" w:sz="0" w:space="0" w:color="auto"/>
                <w:right w:val="none" w:sz="0" w:space="0" w:color="auto"/>
              </w:divBdr>
            </w:div>
            <w:div w:id="1089891803">
              <w:marLeft w:val="0"/>
              <w:marRight w:val="0"/>
              <w:marTop w:val="0"/>
              <w:marBottom w:val="0"/>
              <w:divBdr>
                <w:top w:val="none" w:sz="0" w:space="0" w:color="auto"/>
                <w:left w:val="none" w:sz="0" w:space="0" w:color="auto"/>
                <w:bottom w:val="none" w:sz="0" w:space="0" w:color="auto"/>
                <w:right w:val="none" w:sz="0" w:space="0" w:color="auto"/>
              </w:divBdr>
            </w:div>
          </w:divsChild>
        </w:div>
        <w:div w:id="691300471">
          <w:marLeft w:val="-225"/>
          <w:marRight w:val="-225"/>
          <w:marTop w:val="0"/>
          <w:marBottom w:val="300"/>
          <w:divBdr>
            <w:top w:val="none" w:sz="0" w:space="0" w:color="auto"/>
            <w:left w:val="none" w:sz="0" w:space="0" w:color="auto"/>
            <w:bottom w:val="none" w:sz="0" w:space="0" w:color="auto"/>
            <w:right w:val="none" w:sz="0" w:space="0" w:color="auto"/>
          </w:divBdr>
          <w:divsChild>
            <w:div w:id="719399958">
              <w:marLeft w:val="0"/>
              <w:marRight w:val="0"/>
              <w:marTop w:val="0"/>
              <w:marBottom w:val="0"/>
              <w:divBdr>
                <w:top w:val="none" w:sz="0" w:space="0" w:color="auto"/>
                <w:left w:val="none" w:sz="0" w:space="0" w:color="auto"/>
                <w:bottom w:val="none" w:sz="0" w:space="0" w:color="auto"/>
                <w:right w:val="none" w:sz="0" w:space="0" w:color="auto"/>
              </w:divBdr>
            </w:div>
            <w:div w:id="1510944822">
              <w:marLeft w:val="0"/>
              <w:marRight w:val="0"/>
              <w:marTop w:val="0"/>
              <w:marBottom w:val="0"/>
              <w:divBdr>
                <w:top w:val="none" w:sz="0" w:space="0" w:color="auto"/>
                <w:left w:val="none" w:sz="0" w:space="0" w:color="auto"/>
                <w:bottom w:val="none" w:sz="0" w:space="0" w:color="auto"/>
                <w:right w:val="none" w:sz="0" w:space="0" w:color="auto"/>
              </w:divBdr>
            </w:div>
          </w:divsChild>
        </w:div>
        <w:div w:id="1399784773">
          <w:marLeft w:val="-225"/>
          <w:marRight w:val="-225"/>
          <w:marTop w:val="0"/>
          <w:marBottom w:val="300"/>
          <w:divBdr>
            <w:top w:val="none" w:sz="0" w:space="0" w:color="auto"/>
            <w:left w:val="none" w:sz="0" w:space="0" w:color="auto"/>
            <w:bottom w:val="none" w:sz="0" w:space="0" w:color="auto"/>
            <w:right w:val="none" w:sz="0" w:space="0" w:color="auto"/>
          </w:divBdr>
          <w:divsChild>
            <w:div w:id="827985669">
              <w:marLeft w:val="0"/>
              <w:marRight w:val="0"/>
              <w:marTop w:val="0"/>
              <w:marBottom w:val="0"/>
              <w:divBdr>
                <w:top w:val="none" w:sz="0" w:space="0" w:color="auto"/>
                <w:left w:val="none" w:sz="0" w:space="0" w:color="auto"/>
                <w:bottom w:val="none" w:sz="0" w:space="0" w:color="auto"/>
                <w:right w:val="none" w:sz="0" w:space="0" w:color="auto"/>
              </w:divBdr>
            </w:div>
            <w:div w:id="9856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sermp@mcmaster.ca" TargetMode="External"/><Relationship Id="rId13" Type="http://schemas.openxmlformats.org/officeDocument/2006/relationships/hyperlink" Target="http://csd.mcmaster.ca/sswd/faqs.html" TargetMode="External"/><Relationship Id="rId3" Type="http://schemas.openxmlformats.org/officeDocument/2006/relationships/settings" Target="settings.xml"/><Relationship Id="rId7" Type="http://schemas.openxmlformats.org/officeDocument/2006/relationships/hyperlink" Target="https://registrar.mcmaster.ca/dates-and-deadlines/" TargetMode="External"/><Relationship Id="rId12" Type="http://schemas.openxmlformats.org/officeDocument/2006/relationships/hyperlink" Target="http://www.mcmaster.ca/policy/Students-AcademicStudies/AcademicAccommodation-StudentsWithDisabiliti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cmaster.ca/academicintegrity" TargetMode="Externa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Mubeen Ladhani</dc:creator>
  <cp:keywords/>
  <dc:description/>
  <cp:lastModifiedBy>M.P. Busser</cp:lastModifiedBy>
  <cp:revision>3</cp:revision>
  <dcterms:created xsi:type="dcterms:W3CDTF">2020-01-02T18:48:00Z</dcterms:created>
  <dcterms:modified xsi:type="dcterms:W3CDTF">2020-01-02T19:08:00Z</dcterms:modified>
</cp:coreProperties>
</file>